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4961"/>
        <w:gridCol w:w="2410"/>
      </w:tblGrid>
      <w:tr w:rsidR="000C3BA7" w14:paraId="63152388" w14:textId="77777777" w:rsidTr="000C0D90">
        <w:trPr>
          <w:trHeight w:val="1962"/>
        </w:trPr>
        <w:tc>
          <w:tcPr>
            <w:tcW w:w="9781" w:type="dxa"/>
            <w:gridSpan w:val="3"/>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64C455A" w:rsidR="003E0BEE" w:rsidRPr="003E0BEE" w:rsidRDefault="003E0BEE" w:rsidP="003E0BEE">
            <w:pPr>
              <w:jc w:val="center"/>
              <w:rPr>
                <w:rFonts w:ascii="Book Antiqua" w:eastAsia="Times New Roman" w:hAnsi="Book Antiqua"/>
              </w:rPr>
            </w:pPr>
            <w:r w:rsidRPr="00314AAE">
              <w:rPr>
                <w:rFonts w:ascii="Book Antiqua" w:eastAsia="Times New Roman" w:hAnsi="Book Antiqua"/>
                <w:b/>
                <w:bCs/>
                <w:color w:val="C45911" w:themeColor="accent2" w:themeShade="BF"/>
                <w:sz w:val="24"/>
                <w:szCs w:val="24"/>
              </w:rPr>
              <w:t>Abril-2020</w:t>
            </w:r>
            <w:r w:rsidRPr="003E0BEE">
              <w:rPr>
                <w:rFonts w:ascii="Book Antiqua" w:eastAsia="Times New Roman" w:hAnsi="Book Antiqua"/>
                <w:color w:val="C45911" w:themeColor="accent2" w:themeShade="BF"/>
              </w:rPr>
              <w:br/>
            </w:r>
            <w:r w:rsidRPr="00314AAE">
              <w:rPr>
                <w:rFonts w:ascii="Book Antiqua" w:eastAsia="Times New Roman" w:hAnsi="Book Antiqua"/>
                <w:color w:val="C45911" w:themeColor="accent2" w:themeShade="BF"/>
                <w:sz w:val="16"/>
                <w:szCs w:val="16"/>
              </w:rPr>
              <w:t xml:space="preserve">Full </w:t>
            </w:r>
            <w:proofErr w:type="spellStart"/>
            <w:r w:rsidRPr="00314AAE">
              <w:rPr>
                <w:rFonts w:ascii="Book Antiqua" w:eastAsia="Times New Roman" w:hAnsi="Book Antiqua"/>
                <w:color w:val="C45911" w:themeColor="accent2" w:themeShade="BF"/>
                <w:sz w:val="16"/>
                <w:szCs w:val="16"/>
              </w:rPr>
              <w:t>text</w:t>
            </w:r>
            <w:proofErr w:type="spellEnd"/>
            <w:r w:rsidRPr="00314AAE">
              <w:rPr>
                <w:rFonts w:ascii="Book Antiqua" w:eastAsia="Times New Roman" w:hAnsi="Book Antiqua"/>
                <w:color w:val="C45911" w:themeColor="accent2" w:themeShade="BF"/>
                <w:sz w:val="16"/>
                <w:szCs w:val="16"/>
              </w:rPr>
              <w:t xml:space="preserve"> </w:t>
            </w:r>
            <w:proofErr w:type="spellStart"/>
            <w:r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71710AE" w14:textId="77777777" w:rsidTr="008D12F6">
        <w:trPr>
          <w:trHeight w:val="437"/>
        </w:trPr>
        <w:tc>
          <w:tcPr>
            <w:tcW w:w="9781" w:type="dxa"/>
            <w:gridSpan w:val="3"/>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3"/>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0B3F0C8A" w14:textId="77777777" w:rsidR="001F5F99" w:rsidRDefault="001F5F99" w:rsidP="000F0AF7">
            <w:pPr>
              <w:jc w:val="center"/>
              <w:rPr>
                <w:rFonts w:ascii="Book Antiqua" w:eastAsiaTheme="minorHAnsi" w:hAnsi="Book Antiqua"/>
                <w:b/>
                <w:sz w:val="24"/>
                <w:szCs w:val="24"/>
                <w:lang w:val="es-ES_tradnl" w:eastAsia="en-US"/>
              </w:rPr>
            </w:pPr>
          </w:p>
          <w:p w14:paraId="3FD0124B" w14:textId="77777777" w:rsidR="001F5F99" w:rsidRDefault="001F5F99" w:rsidP="000F0AF7">
            <w:pPr>
              <w:jc w:val="center"/>
              <w:rPr>
                <w:rFonts w:ascii="Book Antiqua" w:eastAsiaTheme="minorHAnsi" w:hAnsi="Book Antiqua"/>
                <w:b/>
                <w:sz w:val="24"/>
                <w:szCs w:val="24"/>
                <w:lang w:val="es-ES_tradnl" w:eastAsia="en-US"/>
              </w:rPr>
            </w:pPr>
          </w:p>
          <w:p w14:paraId="457332DE" w14:textId="77777777" w:rsidR="001F5F99" w:rsidRDefault="001F5F99" w:rsidP="000F0AF7">
            <w:pPr>
              <w:jc w:val="center"/>
              <w:rPr>
                <w:rFonts w:ascii="Book Antiqua" w:eastAsiaTheme="minorHAnsi" w:hAnsi="Book Antiqua"/>
                <w:b/>
                <w:sz w:val="24"/>
                <w:szCs w:val="24"/>
                <w:lang w:val="es-ES_tradnl" w:eastAsia="en-US"/>
              </w:rPr>
            </w:pPr>
          </w:p>
          <w:p w14:paraId="35856B83" w14:textId="77777777" w:rsidR="001F5F99" w:rsidRDefault="001F5F99" w:rsidP="000F0AF7">
            <w:pPr>
              <w:jc w:val="center"/>
              <w:rPr>
                <w:rFonts w:ascii="Book Antiqua" w:eastAsiaTheme="minorHAnsi" w:hAnsi="Book Antiqua"/>
                <w:b/>
                <w:sz w:val="24"/>
                <w:szCs w:val="24"/>
                <w:lang w:val="es-ES_tradnl" w:eastAsia="en-US"/>
              </w:rPr>
            </w:pPr>
          </w:p>
          <w:p w14:paraId="5B2B22CB" w14:textId="79DE753F" w:rsidR="00192159" w:rsidRPr="00686EAF" w:rsidRDefault="00BB2CA8" w:rsidP="000F0AF7">
            <w:pPr>
              <w:jc w:val="center"/>
              <w:rPr>
                <w:rFonts w:ascii="Book Antiqua" w:eastAsia="Times New Roman" w:hAnsi="Book Antiqua"/>
                <w:b/>
                <w:bCs/>
                <w:iCs/>
                <w:sz w:val="24"/>
                <w:szCs w:val="24"/>
                <w:lang w:val="es-ES_tradnl"/>
              </w:rPr>
            </w:pPr>
            <w:r w:rsidRPr="00686EAF">
              <w:rPr>
                <w:rFonts w:ascii="Book Antiqua" w:eastAsia="Times New Roman" w:hAnsi="Book Antiqua"/>
                <w:b/>
                <w:bCs/>
                <w:sz w:val="24"/>
                <w:szCs w:val="24"/>
              </w:rPr>
              <w:t>OBARRIO</w:t>
            </w:r>
            <w:r w:rsidR="00242647" w:rsidRPr="00686EAF">
              <w:rPr>
                <w:rFonts w:ascii="Book Antiqua" w:eastAsia="Times New Roman" w:hAnsi="Book Antiqua"/>
                <w:b/>
                <w:bCs/>
                <w:sz w:val="24"/>
                <w:szCs w:val="24"/>
              </w:rPr>
              <w:t xml:space="preserve">, </w:t>
            </w:r>
            <w:r w:rsidRPr="00686EAF">
              <w:rPr>
                <w:rFonts w:ascii="Book Antiqua" w:eastAsia="Times New Roman" w:hAnsi="Book Antiqua"/>
                <w:b/>
                <w:bCs/>
                <w:sz w:val="24"/>
                <w:szCs w:val="24"/>
              </w:rPr>
              <w:t>Juan Alfredo</w:t>
            </w:r>
            <w:r w:rsidR="00242647" w:rsidRPr="00686EAF">
              <w:rPr>
                <w:rFonts w:ascii="Book Antiqua" w:eastAsia="Times New Roman" w:hAnsi="Book Antiqua"/>
                <w:b/>
                <w:bCs/>
                <w:sz w:val="24"/>
                <w:szCs w:val="24"/>
              </w:rPr>
              <w:t xml:space="preserve">. </w:t>
            </w:r>
            <w:r w:rsidRPr="00686EAF">
              <w:rPr>
                <w:rFonts w:ascii="Book Antiqua" w:eastAsia="Times New Roman" w:hAnsi="Book Antiqua"/>
                <w:b/>
                <w:bCs/>
                <w:i/>
                <w:sz w:val="24"/>
                <w:szCs w:val="24"/>
              </w:rPr>
              <w:t>Un estudio sobre la Antigüedad: la apología de Sócrates</w:t>
            </w:r>
            <w:r w:rsidRPr="00686EAF">
              <w:rPr>
                <w:rFonts w:ascii="Book Antiqua" w:eastAsia="Times New Roman" w:hAnsi="Book Antiqua"/>
                <w:b/>
                <w:bCs/>
                <w:iCs/>
                <w:sz w:val="24"/>
                <w:szCs w:val="24"/>
              </w:rPr>
              <w:t xml:space="preserve">. Dykinson, </w:t>
            </w:r>
            <w:r w:rsidRPr="00686EAF">
              <w:rPr>
                <w:rFonts w:ascii="Book Antiqua" w:eastAsia="Times New Roman" w:hAnsi="Book Antiqua"/>
                <w:b/>
                <w:bCs/>
                <w:iCs/>
                <w:sz w:val="24"/>
                <w:szCs w:val="24"/>
              </w:rPr>
              <w:t xml:space="preserve">Madrid, </w:t>
            </w:r>
            <w:r w:rsidRPr="00686EAF">
              <w:rPr>
                <w:rFonts w:ascii="Book Antiqua" w:eastAsia="Times New Roman" w:hAnsi="Book Antiqua"/>
                <w:b/>
                <w:bCs/>
                <w:iCs/>
                <w:sz w:val="24"/>
                <w:szCs w:val="24"/>
              </w:rPr>
              <w:t>2018</w:t>
            </w:r>
            <w:r w:rsidRPr="00686EAF">
              <w:rPr>
                <w:rFonts w:ascii="Book Antiqua" w:eastAsia="Times New Roman" w:hAnsi="Book Antiqua"/>
                <w:b/>
                <w:bCs/>
                <w:iCs/>
                <w:sz w:val="24"/>
                <w:szCs w:val="24"/>
              </w:rPr>
              <w:t>, 211pp</w:t>
            </w:r>
            <w:r w:rsidR="00242647" w:rsidRPr="00686EAF">
              <w:rPr>
                <w:rFonts w:ascii="Book Antiqua" w:eastAsia="Times New Roman" w:hAnsi="Book Antiqua"/>
                <w:b/>
                <w:bCs/>
                <w:iCs/>
                <w:sz w:val="24"/>
                <w:szCs w:val="24"/>
              </w:rPr>
              <w:t>.</w:t>
            </w:r>
          </w:p>
          <w:p w14:paraId="3D27BD5A" w14:textId="3897EDB4" w:rsidR="001F5F99" w:rsidRDefault="001F5F99" w:rsidP="000F0AF7">
            <w:pPr>
              <w:jc w:val="center"/>
              <w:rPr>
                <w:rFonts w:ascii="Book Antiqua" w:eastAsia="Times New Roman" w:hAnsi="Book Antiqua"/>
                <w:b/>
                <w:bCs/>
                <w:sz w:val="24"/>
                <w:szCs w:val="24"/>
                <w:lang w:val="es-ES_tradnl"/>
              </w:rPr>
            </w:pPr>
          </w:p>
          <w:p w14:paraId="3786DB39" w14:textId="4B94E276" w:rsidR="001F5F99" w:rsidRDefault="001F5F99" w:rsidP="000F0AF7">
            <w:pPr>
              <w:jc w:val="center"/>
              <w:rPr>
                <w:rFonts w:ascii="Book Antiqua" w:eastAsia="Times New Roman" w:hAnsi="Book Antiqua"/>
                <w:b/>
                <w:bCs/>
                <w:sz w:val="24"/>
                <w:szCs w:val="24"/>
                <w:lang w:val="es-ES_tradnl"/>
              </w:rPr>
            </w:pPr>
          </w:p>
          <w:p w14:paraId="29C0B105" w14:textId="77777777" w:rsidR="001F5F99" w:rsidRPr="00D235F8" w:rsidRDefault="001F5F99" w:rsidP="000F0AF7">
            <w:pPr>
              <w:jc w:val="center"/>
              <w:rPr>
                <w:rFonts w:ascii="Book Antiqua" w:eastAsia="Times New Roman" w:hAnsi="Book Antiqua"/>
                <w:b/>
                <w:bCs/>
                <w:sz w:val="24"/>
                <w:szCs w:val="24"/>
                <w:lang w:val="es-ES_tradnl"/>
              </w:rPr>
            </w:pPr>
          </w:p>
          <w:p w14:paraId="20E2A49C" w14:textId="3D133BA4" w:rsidR="00192159" w:rsidRPr="00D235F8" w:rsidRDefault="00192159" w:rsidP="004D64E8">
            <w:pPr>
              <w:jc w:val="center"/>
              <w:rPr>
                <w:rFonts w:ascii="Book Antiqua" w:eastAsia="Times New Roman" w:hAnsi="Book Antiqua"/>
                <w:sz w:val="24"/>
                <w:szCs w:val="24"/>
              </w:rPr>
            </w:pPr>
            <w:r w:rsidRPr="00D235F8">
              <w:rPr>
                <w:rFonts w:ascii="Book Antiqua" w:eastAsia="Times New Roman" w:hAnsi="Book Antiqua"/>
                <w:b/>
                <w:bCs/>
                <w:sz w:val="24"/>
                <w:szCs w:val="24"/>
              </w:rPr>
              <w:br/>
            </w:r>
            <w:r w:rsidR="00B95CAA">
              <w:rPr>
                <w:rFonts w:ascii="Book Antiqua" w:eastAsia="Times New Roman" w:hAnsi="Book Antiqua"/>
                <w:b/>
                <w:bCs/>
                <w:sz w:val="24"/>
                <w:szCs w:val="24"/>
              </w:rPr>
              <w:t>Adolfo Díaz-Bautista</w:t>
            </w:r>
          </w:p>
          <w:p w14:paraId="3E603890" w14:textId="06DB2904" w:rsidR="005E7751" w:rsidRDefault="00B95CAA" w:rsidP="005E7751">
            <w:pPr>
              <w:jc w:val="center"/>
              <w:rPr>
                <w:rFonts w:ascii="Book Antiqua" w:hAnsi="Book Antiqua"/>
                <w:lang w:val="fr-FR"/>
              </w:rPr>
            </w:pPr>
            <w:proofErr w:type="spellStart"/>
            <w:r>
              <w:rPr>
                <w:rFonts w:ascii="Book Antiqua" w:eastAsia="Times New Roman" w:hAnsi="Book Antiqua"/>
                <w:lang w:val="fr-FR"/>
              </w:rPr>
              <w:t>Profesor</w:t>
            </w:r>
            <w:proofErr w:type="spellEnd"/>
            <w:r>
              <w:rPr>
                <w:rFonts w:ascii="Book Antiqua" w:eastAsia="Times New Roman" w:hAnsi="Book Antiqua"/>
                <w:lang w:val="fr-FR"/>
              </w:rPr>
              <w:t xml:space="preserve"> </w:t>
            </w:r>
            <w:proofErr w:type="spellStart"/>
            <w:r>
              <w:rPr>
                <w:rFonts w:ascii="Book Antiqua" w:eastAsia="Times New Roman" w:hAnsi="Book Antiqua"/>
                <w:lang w:val="fr-FR"/>
              </w:rPr>
              <w:t>Contratado</w:t>
            </w:r>
            <w:proofErr w:type="spellEnd"/>
            <w:r>
              <w:rPr>
                <w:rFonts w:ascii="Book Antiqua" w:eastAsia="Times New Roman" w:hAnsi="Book Antiqua"/>
                <w:lang w:val="fr-FR"/>
              </w:rPr>
              <w:t xml:space="preserve"> </w:t>
            </w:r>
            <w:proofErr w:type="spellStart"/>
            <w:r>
              <w:rPr>
                <w:rFonts w:ascii="Book Antiqua" w:eastAsia="Times New Roman" w:hAnsi="Book Antiqua"/>
                <w:lang w:val="fr-FR"/>
              </w:rPr>
              <w:t>Doctor</w:t>
            </w:r>
            <w:proofErr w:type="spellEnd"/>
            <w:r w:rsidR="00427063">
              <w:rPr>
                <w:rFonts w:ascii="Book Antiqua" w:eastAsia="Times New Roman" w:hAnsi="Book Antiqua"/>
                <w:lang w:val="fr-FR"/>
              </w:rPr>
              <w:t xml:space="preserve"> de Derecho Romano</w:t>
            </w:r>
            <w:r w:rsidR="00192159" w:rsidRPr="002D2CB5">
              <w:rPr>
                <w:rFonts w:ascii="Book Antiqua" w:eastAsia="Times New Roman" w:hAnsi="Book Antiqua"/>
              </w:rPr>
              <w:br/>
            </w:r>
            <w:r w:rsidR="00427063">
              <w:rPr>
                <w:rFonts w:ascii="Book Antiqua" w:hAnsi="Book Antiqua"/>
                <w:lang w:val="fr-FR"/>
              </w:rPr>
              <w:t xml:space="preserve">Universidad </w:t>
            </w:r>
            <w:r w:rsidR="001F5F99">
              <w:rPr>
                <w:rFonts w:ascii="Book Antiqua" w:hAnsi="Book Antiqua"/>
                <w:lang w:val="fr-FR"/>
              </w:rPr>
              <w:t xml:space="preserve">de </w:t>
            </w:r>
            <w:r>
              <w:rPr>
                <w:rFonts w:ascii="Book Antiqua" w:hAnsi="Book Antiqua"/>
                <w:lang w:val="fr-FR"/>
              </w:rPr>
              <w:t>Murcia</w:t>
            </w:r>
          </w:p>
          <w:p w14:paraId="20C136A7" w14:textId="2F5A60FD" w:rsidR="00BB2CA8" w:rsidRDefault="00BB2CA8" w:rsidP="005E7751">
            <w:pPr>
              <w:jc w:val="center"/>
              <w:rPr>
                <w:rFonts w:ascii="Book Antiqua" w:hAnsi="Book Antiqua"/>
                <w:lang w:val="fr-FR"/>
              </w:rPr>
            </w:pPr>
            <w:hyperlink r:id="rId10" w:history="1">
              <w:r w:rsidRPr="004253B0">
                <w:rPr>
                  <w:rStyle w:val="Hipervnculo"/>
                  <w:rFonts w:ascii="Book Antiqua" w:hAnsi="Book Antiqua"/>
                </w:rPr>
                <w:t>Adiaz-bautista@um.es</w:t>
              </w:r>
            </w:hyperlink>
          </w:p>
          <w:p w14:paraId="1A7005CE" w14:textId="72E91B0B" w:rsidR="00962B5E" w:rsidRPr="00A0491C" w:rsidRDefault="00962B5E" w:rsidP="00A659E0">
            <w:pPr>
              <w:jc w:val="center"/>
              <w:rPr>
                <w:rFonts w:ascii="Book Antiqua" w:hAnsi="Book Antiqua"/>
                <w:sz w:val="24"/>
                <w:szCs w:val="24"/>
              </w:rPr>
            </w:pPr>
          </w:p>
          <w:p w14:paraId="52ED4E52" w14:textId="23257D0C" w:rsidR="00192159" w:rsidRDefault="00192159" w:rsidP="004D64E8">
            <w:pPr>
              <w:jc w:val="center"/>
              <w:rPr>
                <w:rFonts w:ascii="Book Antiqua" w:eastAsia="Times New Roman" w:hAnsi="Book Antiqua"/>
                <w:sz w:val="24"/>
              </w:rPr>
            </w:pPr>
          </w:p>
          <w:p w14:paraId="703B090D" w14:textId="23D733CE" w:rsidR="001F5F99" w:rsidRDefault="001F5F99" w:rsidP="004D64E8">
            <w:pPr>
              <w:jc w:val="center"/>
              <w:rPr>
                <w:rFonts w:ascii="Book Antiqua" w:eastAsia="Times New Roman" w:hAnsi="Book Antiqua"/>
                <w:sz w:val="24"/>
              </w:rPr>
            </w:pPr>
          </w:p>
          <w:p w14:paraId="11EB37E3" w14:textId="07CBAEF9" w:rsidR="001F5F99" w:rsidRDefault="001F5F99" w:rsidP="004D64E8">
            <w:pPr>
              <w:jc w:val="center"/>
              <w:rPr>
                <w:rFonts w:ascii="Book Antiqua" w:eastAsia="Times New Roman" w:hAnsi="Book Antiqua"/>
                <w:sz w:val="24"/>
              </w:rPr>
            </w:pPr>
          </w:p>
          <w:p w14:paraId="2C044014" w14:textId="3A1B0CE4" w:rsidR="001F5F99" w:rsidRDefault="001F5F99" w:rsidP="004D64E8">
            <w:pPr>
              <w:jc w:val="center"/>
              <w:rPr>
                <w:rFonts w:ascii="Book Antiqua" w:eastAsia="Times New Roman" w:hAnsi="Book Antiqua"/>
                <w:sz w:val="24"/>
              </w:rPr>
            </w:pPr>
          </w:p>
          <w:p w14:paraId="3ACA6790" w14:textId="01F3C5E6" w:rsidR="001F5F99" w:rsidRDefault="001F5F99" w:rsidP="004D64E8">
            <w:pPr>
              <w:jc w:val="center"/>
              <w:rPr>
                <w:rFonts w:ascii="Book Antiqua" w:eastAsia="Times New Roman" w:hAnsi="Book Antiqua"/>
                <w:sz w:val="24"/>
              </w:rPr>
            </w:pPr>
          </w:p>
          <w:p w14:paraId="7FFBC013" w14:textId="78048998" w:rsidR="001F5F99" w:rsidRDefault="001F5F99" w:rsidP="004D64E8">
            <w:pPr>
              <w:jc w:val="center"/>
              <w:rPr>
                <w:rFonts w:ascii="Book Antiqua" w:eastAsia="Times New Roman" w:hAnsi="Book Antiqua"/>
                <w:sz w:val="24"/>
              </w:rPr>
            </w:pPr>
          </w:p>
          <w:p w14:paraId="611F8454" w14:textId="77777777" w:rsidR="001F5F99" w:rsidRPr="003E012B" w:rsidRDefault="001F5F99" w:rsidP="004D64E8">
            <w:pPr>
              <w:jc w:val="center"/>
              <w:rPr>
                <w:rFonts w:ascii="Book Antiqua" w:eastAsia="Times New Roman" w:hAnsi="Book Antiqua"/>
                <w:sz w:val="24"/>
              </w:rPr>
            </w:pPr>
          </w:p>
          <w:p w14:paraId="31664FE2" w14:textId="38A7F19B"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686EAF">
              <w:rPr>
                <w:rFonts w:ascii="Book Antiqua" w:eastAsia="Times New Roman" w:hAnsi="Book Antiqua"/>
                <w:b/>
                <w:bCs/>
              </w:rPr>
              <w:t>DÍAZ-BAUTISTA</w:t>
            </w:r>
            <w:r w:rsidR="00FE0CBE">
              <w:rPr>
                <w:rFonts w:ascii="Book Antiqua" w:eastAsia="Times New Roman" w:hAnsi="Book Antiqua"/>
                <w:b/>
                <w:bCs/>
              </w:rPr>
              <w:t xml:space="preserve">, </w:t>
            </w:r>
            <w:r w:rsidR="00686EAF">
              <w:rPr>
                <w:rFonts w:ascii="Book Antiqua" w:eastAsia="Times New Roman" w:hAnsi="Book Antiqua"/>
                <w:b/>
                <w:bCs/>
              </w:rPr>
              <w:t>Adolfo</w:t>
            </w:r>
            <w:r w:rsidRPr="00687DAD">
              <w:rPr>
                <w:rFonts w:ascii="Book Antiqua" w:eastAsia="Times New Roman" w:hAnsi="Book Antiqua"/>
                <w:b/>
                <w:bCs/>
              </w:rPr>
              <w:t xml:space="preserve">. </w:t>
            </w:r>
            <w:r w:rsidR="00686EAF" w:rsidRPr="00686EAF">
              <w:rPr>
                <w:rFonts w:ascii="Book Antiqua" w:eastAsia="Times New Roman" w:hAnsi="Book Antiqua"/>
                <w:b/>
                <w:bCs/>
              </w:rPr>
              <w:t xml:space="preserve">OBARRIO, Juan Alfredo. </w:t>
            </w:r>
            <w:r w:rsidR="00686EAF" w:rsidRPr="00686EAF">
              <w:rPr>
                <w:rFonts w:ascii="Book Antiqua" w:eastAsia="Times New Roman" w:hAnsi="Book Antiqua"/>
                <w:b/>
                <w:bCs/>
                <w:i/>
              </w:rPr>
              <w:t>Un estudio sobre la Antigüedad: la apología de Sócrates</w:t>
            </w:r>
            <w:r w:rsidR="00686EAF" w:rsidRPr="00686EAF">
              <w:rPr>
                <w:rFonts w:ascii="Book Antiqua" w:eastAsia="Times New Roman" w:hAnsi="Book Antiqua"/>
                <w:b/>
                <w:bCs/>
                <w:iCs/>
              </w:rPr>
              <w:t>. Dykinson, Madrid, 2018, 211pp</w:t>
            </w:r>
            <w:r w:rsidRPr="00687DAD">
              <w:rPr>
                <w:rFonts w:ascii="Book Antiqua" w:eastAsia="Times New Roman" w:hAnsi="Book Antiqua"/>
                <w:b/>
                <w:bCs/>
              </w:rPr>
              <w:t xml:space="preserve">. </w:t>
            </w:r>
            <w:proofErr w:type="spellStart"/>
            <w:r w:rsidRPr="00687DAD">
              <w:rPr>
                <w:rFonts w:ascii="Book Antiqua" w:eastAsia="Times New Roman" w:hAnsi="Book Antiqua"/>
                <w:b/>
                <w:bCs/>
              </w:rPr>
              <w:t>RIDROM</w:t>
            </w:r>
            <w:proofErr w:type="spellEnd"/>
            <w:r w:rsidRPr="00687DAD">
              <w:rPr>
                <w:rFonts w:ascii="Book Antiqua" w:eastAsia="Times New Roman" w:hAnsi="Book Antiqua"/>
                <w:b/>
                <w:bCs/>
              </w:rPr>
              <w:t xml:space="preserve"> [</w:t>
            </w:r>
            <w:proofErr w:type="spellStart"/>
            <w:r w:rsidRPr="00687DAD">
              <w:rPr>
                <w:rFonts w:ascii="Book Antiqua" w:eastAsia="Times New Roman" w:hAnsi="Book Antiqua"/>
                <w:b/>
                <w:bCs/>
              </w:rPr>
              <w:t>on</w:t>
            </w:r>
            <w:proofErr w:type="spellEnd"/>
            <w:r w:rsidRPr="00687DAD">
              <w:rPr>
                <w:rFonts w:ascii="Book Antiqua" w:eastAsia="Times New Roman" w:hAnsi="Book Antiqua"/>
                <w:b/>
                <w:bCs/>
              </w:rPr>
              <w:t xml:space="preserve"> line]. 2</w:t>
            </w:r>
            <w:r w:rsidR="00687DAD">
              <w:rPr>
                <w:rFonts w:ascii="Book Antiqua" w:eastAsia="Times New Roman" w:hAnsi="Book Antiqua"/>
                <w:b/>
                <w:bCs/>
              </w:rPr>
              <w:t>4</w:t>
            </w:r>
            <w:r w:rsidRPr="00687DAD">
              <w:rPr>
                <w:rFonts w:ascii="Book Antiqua" w:eastAsia="Times New Roman" w:hAnsi="Book Antiqua"/>
                <w:b/>
                <w:bCs/>
              </w:rPr>
              <w:t>-20</w:t>
            </w:r>
            <w:r w:rsidR="00687DAD">
              <w:rPr>
                <w:rFonts w:ascii="Book Antiqua" w:eastAsia="Times New Roman" w:hAnsi="Book Antiqua"/>
                <w:b/>
                <w:bCs/>
              </w:rPr>
              <w:t>20</w:t>
            </w:r>
            <w:r w:rsidRPr="00687DAD">
              <w:rPr>
                <w:rFonts w:ascii="Book Antiqua" w:eastAsia="Times New Roman" w:hAnsi="Book Antiqua"/>
                <w:b/>
                <w:bCs/>
              </w:rPr>
              <w:t xml:space="preserve">.  ISSN 1989-1970.  p. </w:t>
            </w:r>
            <w:r w:rsidR="00CF1325">
              <w:rPr>
                <w:rFonts w:ascii="Book Antiqua" w:eastAsia="Times New Roman" w:hAnsi="Book Antiqua"/>
                <w:b/>
                <w:bCs/>
              </w:rPr>
              <w:t>6</w:t>
            </w:r>
            <w:r w:rsidR="00686EAF">
              <w:rPr>
                <w:rFonts w:ascii="Book Antiqua" w:eastAsia="Times New Roman" w:hAnsi="Book Antiqua"/>
                <w:b/>
                <w:bCs/>
              </w:rPr>
              <w:t>61</w:t>
            </w:r>
            <w:r w:rsidRPr="00687DAD">
              <w:rPr>
                <w:rFonts w:ascii="Book Antiqua" w:eastAsia="Times New Roman" w:hAnsi="Book Antiqua"/>
                <w:b/>
                <w:bCs/>
              </w:rPr>
              <w:t>-</w:t>
            </w:r>
            <w:r w:rsidR="00AA0034">
              <w:rPr>
                <w:rFonts w:ascii="Book Antiqua" w:eastAsia="Times New Roman" w:hAnsi="Book Antiqua"/>
                <w:b/>
                <w:bCs/>
              </w:rPr>
              <w:t>6</w:t>
            </w:r>
            <w:r w:rsidR="00326BC6">
              <w:rPr>
                <w:rFonts w:ascii="Book Antiqua" w:eastAsia="Times New Roman" w:hAnsi="Book Antiqua"/>
                <w:b/>
                <w:bCs/>
              </w:rPr>
              <w:t>6</w:t>
            </w:r>
            <w:r w:rsidR="00043382">
              <w:rPr>
                <w:rFonts w:ascii="Book Antiqua" w:eastAsia="Times New Roman" w:hAnsi="Book Antiqua"/>
                <w:b/>
                <w:bCs/>
              </w:rPr>
              <w:t>9</w:t>
            </w:r>
            <w:r w:rsidRPr="00687DAD">
              <w:rPr>
                <w:rFonts w:ascii="Book Antiqua" w:eastAsia="Times New Roman" w:hAnsi="Book Antiqua"/>
                <w:b/>
                <w:bCs/>
              </w:rPr>
              <w:t xml:space="preserve">. </w:t>
            </w:r>
            <w:hyperlink r:id="rId11"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761FD30" w14:textId="32AF77CC" w:rsidR="00192159" w:rsidRPr="004D64E8" w:rsidRDefault="00192159" w:rsidP="00E677FC">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686EAF">
          <w:headerReference w:type="default" r:id="rId12"/>
          <w:footerReference w:type="default" r:id="rId13"/>
          <w:footerReference w:type="first" r:id="rId14"/>
          <w:pgSz w:w="11900" w:h="16838"/>
          <w:pgMar w:top="737" w:right="1026" w:bottom="50" w:left="1020" w:header="340" w:footer="567" w:gutter="0"/>
          <w:pgNumType w:start="661"/>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5E2F39EA" w14:textId="77777777" w:rsidR="00043382" w:rsidRPr="00737386" w:rsidRDefault="00043382" w:rsidP="00043382">
      <w:pPr>
        <w:spacing w:line="360" w:lineRule="auto"/>
        <w:jc w:val="both"/>
        <w:rPr>
          <w:rFonts w:ascii="Book Antiqua" w:hAnsi="Book Antiqua"/>
          <w:sz w:val="28"/>
          <w:szCs w:val="28"/>
        </w:rPr>
      </w:pPr>
      <w:r w:rsidRPr="00737386">
        <w:rPr>
          <w:rFonts w:ascii="Book Antiqua" w:hAnsi="Book Antiqua"/>
          <w:i/>
          <w:iCs/>
          <w:sz w:val="28"/>
          <w:szCs w:val="28"/>
        </w:rPr>
        <w:t>Venimos de los libros. Hemos leído y leemos libros. Creemos que hemos vivido porque hemos leído libros</w:t>
      </w:r>
      <w:r w:rsidRPr="00737386">
        <w:rPr>
          <w:rFonts w:ascii="Book Antiqua" w:hAnsi="Book Antiqua"/>
          <w:sz w:val="28"/>
          <w:szCs w:val="28"/>
        </w:rPr>
        <w:t>. Con esta cita de Josep Plá comienza el estudio que el profesor Juan Alfredo Obarrio Moreno (Catedrático de Derecho Romano de la Universidad de Valencia) dedica a “la apología de Sócrates”. Conocemos el juicio y la condena de Sócrates a través de varias obras fundamentales: El diálogo “Critón” de Platón y las apologías del propio Platón y de Jenofonte (basado probablemente en el testimonio de Hermógenes, discípulo del filósofo). En ambas se da muestra tanto de lo injusto de las acusaciones (</w:t>
      </w:r>
      <w:proofErr w:type="spellStart"/>
      <w:r w:rsidRPr="00737386">
        <w:rPr>
          <w:rFonts w:ascii="Book Antiqua" w:hAnsi="Book Antiqua"/>
          <w:i/>
          <w:iCs/>
          <w:sz w:val="28"/>
          <w:szCs w:val="28"/>
        </w:rPr>
        <w:t>asebeia</w:t>
      </w:r>
      <w:proofErr w:type="spellEnd"/>
      <w:r w:rsidRPr="00737386">
        <w:rPr>
          <w:rFonts w:ascii="Book Antiqua" w:hAnsi="Book Antiqua"/>
          <w:sz w:val="28"/>
          <w:szCs w:val="28"/>
        </w:rPr>
        <w:t>, corrupción de menores) como de la serena actitud de Sócrates ante la injusta condena y el inevitable desenlace.</w:t>
      </w:r>
    </w:p>
    <w:p w14:paraId="54CDBFC5" w14:textId="77777777" w:rsidR="00043382" w:rsidRPr="00737386" w:rsidRDefault="00043382" w:rsidP="00043382">
      <w:pPr>
        <w:spacing w:line="360" w:lineRule="auto"/>
        <w:jc w:val="both"/>
        <w:rPr>
          <w:rFonts w:ascii="Book Antiqua" w:hAnsi="Book Antiqua"/>
          <w:sz w:val="28"/>
          <w:szCs w:val="28"/>
        </w:rPr>
      </w:pPr>
      <w:r w:rsidRPr="00737386">
        <w:rPr>
          <w:rFonts w:ascii="Book Antiqua" w:hAnsi="Book Antiqua"/>
          <w:sz w:val="28"/>
          <w:szCs w:val="28"/>
        </w:rPr>
        <w:t>La obra que comentamos y que invita a la relectura profunda del texto platónico, se estructura en seis capítulos, el último de los cuales se anuncia como “epílogo”, a los que acompañan un exordio, una coda, un índice de fuentes literarias y una completa relación de bibliografía que dan fe del enjundioso trabajo de documentación realizado por el autor y que impregna toda la obra.</w:t>
      </w:r>
    </w:p>
    <w:p w14:paraId="7442B969" w14:textId="77777777" w:rsidR="00043382" w:rsidRPr="00737386" w:rsidRDefault="00043382" w:rsidP="00043382">
      <w:pPr>
        <w:spacing w:line="360" w:lineRule="auto"/>
        <w:jc w:val="both"/>
        <w:rPr>
          <w:rFonts w:ascii="Book Antiqua" w:hAnsi="Book Antiqua"/>
          <w:sz w:val="28"/>
          <w:szCs w:val="28"/>
        </w:rPr>
      </w:pPr>
      <w:r w:rsidRPr="00737386">
        <w:rPr>
          <w:rFonts w:ascii="Book Antiqua" w:hAnsi="Book Antiqua"/>
          <w:sz w:val="28"/>
          <w:szCs w:val="28"/>
        </w:rPr>
        <w:t>Con la modestia del verdadero sabio, que conoce lo insondable del profundo mar de la sabiduría, el autor renuncia en el exordio a intentar una “lectura total” de la obra de Platón, advirtiendo que nuestro deber, como amantes de la antigüedad -antes que expertos- es recorrer el laberinto que toda obra supone y que el autor aborda, como reconoce, con el andamiaje cultural de su acreditada experiencia a modo de hilo de Ariadna.</w:t>
      </w:r>
    </w:p>
    <w:p w14:paraId="3ECFF0F9" w14:textId="77777777" w:rsidR="00043382" w:rsidRPr="00737386" w:rsidRDefault="00043382" w:rsidP="00043382">
      <w:pPr>
        <w:spacing w:line="360" w:lineRule="auto"/>
        <w:jc w:val="both"/>
        <w:rPr>
          <w:rFonts w:ascii="Book Antiqua" w:hAnsi="Book Antiqua"/>
          <w:sz w:val="28"/>
          <w:szCs w:val="28"/>
        </w:rPr>
      </w:pPr>
      <w:r w:rsidRPr="00737386">
        <w:rPr>
          <w:rFonts w:ascii="Book Antiqua" w:hAnsi="Book Antiqua"/>
          <w:sz w:val="28"/>
          <w:szCs w:val="28"/>
        </w:rPr>
        <w:t xml:space="preserve">Siguiendo el más puro estilo socrático de la mayéutica, la obra se inaugura con la pregunta ¿por qué leer la </w:t>
      </w:r>
      <w:r w:rsidRPr="00737386">
        <w:rPr>
          <w:rFonts w:ascii="Book Antiqua" w:hAnsi="Book Antiqua"/>
          <w:i/>
          <w:iCs/>
          <w:sz w:val="28"/>
          <w:szCs w:val="28"/>
        </w:rPr>
        <w:t>Apología de Sócrates</w:t>
      </w:r>
      <w:r w:rsidRPr="00737386">
        <w:rPr>
          <w:rFonts w:ascii="Book Antiqua" w:hAnsi="Book Antiqua"/>
          <w:sz w:val="28"/>
          <w:szCs w:val="28"/>
        </w:rPr>
        <w:t xml:space="preserve">? El autor </w:t>
      </w:r>
      <w:r w:rsidRPr="00737386">
        <w:rPr>
          <w:rFonts w:ascii="Book Antiqua" w:hAnsi="Book Antiqua"/>
          <w:sz w:val="28"/>
          <w:szCs w:val="28"/>
        </w:rPr>
        <w:lastRenderedPageBreak/>
        <w:t xml:space="preserve">es consciente, y así lo expresa, de que el interrogatorio como método no es un mero juego retórico ni busca la artificiosa vanidad de acumular conocimientos, sino que, en el propio Sócrates y en cualquier auténtico filósofo (amante de la sabiduría) la pregunta es una actitud vital: se </w:t>
      </w:r>
      <w:proofErr w:type="gramStart"/>
      <w:r w:rsidRPr="00737386">
        <w:rPr>
          <w:rFonts w:ascii="Book Antiqua" w:hAnsi="Book Antiqua"/>
          <w:sz w:val="28"/>
          <w:szCs w:val="28"/>
        </w:rPr>
        <w:t>pregunta</w:t>
      </w:r>
      <w:proofErr w:type="gramEnd"/>
      <w:r w:rsidRPr="00737386">
        <w:rPr>
          <w:rFonts w:ascii="Book Antiqua" w:hAnsi="Book Antiqua"/>
          <w:sz w:val="28"/>
          <w:szCs w:val="28"/>
        </w:rPr>
        <w:t xml:space="preserve"> ante todo, no como el maestro al discípulo, esperando una respuesta ya sabida, sino como el niño que se admira ante el mundo. El autor reconoce las distintas inquietudes que le mueven a presentarnos su particular, y documentada, lectura de la </w:t>
      </w:r>
      <w:r w:rsidRPr="00737386">
        <w:rPr>
          <w:rFonts w:ascii="Book Antiqua" w:hAnsi="Book Antiqua"/>
          <w:i/>
          <w:iCs/>
          <w:sz w:val="28"/>
          <w:szCs w:val="28"/>
        </w:rPr>
        <w:t>Apología</w:t>
      </w:r>
      <w:r w:rsidRPr="00737386">
        <w:rPr>
          <w:rFonts w:ascii="Book Antiqua" w:hAnsi="Book Antiqua"/>
          <w:sz w:val="28"/>
          <w:szCs w:val="28"/>
        </w:rPr>
        <w:t xml:space="preserve">: una inquietud filosófica, histórica, intelectual, jurídica y, en resumen, docente. Porque el profesor Obarrio es, ante todo, un maestro embarcado en la cruzada de despertar en los jóvenes el deseo de leer, de estudiar y de aprender. </w:t>
      </w:r>
    </w:p>
    <w:p w14:paraId="4A5C55CD" w14:textId="77777777" w:rsidR="00043382" w:rsidRPr="00737386" w:rsidRDefault="00043382" w:rsidP="00043382">
      <w:pPr>
        <w:spacing w:line="360" w:lineRule="auto"/>
        <w:jc w:val="both"/>
        <w:rPr>
          <w:rFonts w:ascii="Book Antiqua" w:hAnsi="Book Antiqua"/>
          <w:sz w:val="28"/>
          <w:szCs w:val="28"/>
        </w:rPr>
      </w:pPr>
      <w:r w:rsidRPr="00737386">
        <w:rPr>
          <w:rFonts w:ascii="Book Antiqua" w:hAnsi="Book Antiqua"/>
          <w:sz w:val="28"/>
          <w:szCs w:val="28"/>
        </w:rPr>
        <w:t xml:space="preserve">La </w:t>
      </w:r>
      <w:r w:rsidRPr="00737386">
        <w:rPr>
          <w:rFonts w:ascii="Book Antiqua" w:hAnsi="Book Antiqua"/>
          <w:i/>
          <w:iCs/>
          <w:sz w:val="28"/>
          <w:szCs w:val="28"/>
        </w:rPr>
        <w:t>Apología</w:t>
      </w:r>
      <w:r w:rsidRPr="00737386">
        <w:rPr>
          <w:rFonts w:ascii="Book Antiqua" w:hAnsi="Book Antiqua"/>
          <w:sz w:val="28"/>
          <w:szCs w:val="28"/>
        </w:rPr>
        <w:t xml:space="preserve"> de Platón no es una isla argumental dentro de la producción que conocemos de Platón ni, por supuesto, en el contexto literario surgido a raíz de la figura del padre de la Filosofía (Jenofonte, pero también Diógenes Laercio, Aristófanes…). Por ello, el autor se detiene, en el capítulo II en el análisis riguroso y metódico, como corresponde al científico que es Obarrio, del </w:t>
      </w:r>
      <w:r w:rsidRPr="00737386">
        <w:rPr>
          <w:rFonts w:ascii="Book Antiqua" w:hAnsi="Book Antiqua"/>
          <w:i/>
          <w:iCs/>
          <w:sz w:val="28"/>
          <w:szCs w:val="28"/>
        </w:rPr>
        <w:t>corpus documental.</w:t>
      </w:r>
    </w:p>
    <w:p w14:paraId="53546F0A" w14:textId="77777777" w:rsidR="00043382" w:rsidRPr="00737386" w:rsidRDefault="00043382" w:rsidP="00043382">
      <w:pPr>
        <w:spacing w:line="360" w:lineRule="auto"/>
        <w:jc w:val="both"/>
        <w:rPr>
          <w:rFonts w:ascii="Book Antiqua" w:hAnsi="Book Antiqua"/>
          <w:sz w:val="28"/>
          <w:szCs w:val="28"/>
        </w:rPr>
      </w:pPr>
      <w:r w:rsidRPr="00737386">
        <w:rPr>
          <w:rFonts w:ascii="Book Antiqua" w:hAnsi="Book Antiqua"/>
          <w:sz w:val="28"/>
          <w:szCs w:val="28"/>
        </w:rPr>
        <w:t>En el tercer capítulo, Obarrio nos introduce en el contexto geográfico, social y jurídico en que se desarrolla el juicio a Sócrates. Dado que sólo conocemos el discurso de defensa (o apología) y no el de acusación (</w:t>
      </w:r>
      <w:proofErr w:type="spellStart"/>
      <w:r w:rsidRPr="00737386">
        <w:rPr>
          <w:rFonts w:ascii="Book Antiqua" w:hAnsi="Book Antiqua"/>
          <w:sz w:val="28"/>
          <w:szCs w:val="28"/>
        </w:rPr>
        <w:t>kategoría</w:t>
      </w:r>
      <w:proofErr w:type="spellEnd"/>
      <w:r w:rsidRPr="00737386">
        <w:rPr>
          <w:rFonts w:ascii="Book Antiqua" w:hAnsi="Book Antiqua"/>
          <w:sz w:val="28"/>
          <w:szCs w:val="28"/>
        </w:rPr>
        <w:t xml:space="preserve">) es procedente reflexionar sobre la gran pregunta que rodea la muerte del filósofo ¿por qué? ¿qué había hecho realmente Sócrates? O al menos ¿por qué era un peligro para la sociedad ateniense? Obarrio nos presenta la respuesta a través de la cita de Foucault que preside este apartado: </w:t>
      </w:r>
      <w:r w:rsidRPr="00737386">
        <w:rPr>
          <w:rFonts w:ascii="Book Antiqua" w:hAnsi="Book Antiqua"/>
          <w:i/>
          <w:iCs/>
          <w:sz w:val="28"/>
          <w:szCs w:val="28"/>
        </w:rPr>
        <w:t xml:space="preserve">Cuando un filósofo se dirige a un soberano, a un tirano, y le dice que su tiranía es molesta y desagradable </w:t>
      </w:r>
      <w:r w:rsidRPr="00737386">
        <w:rPr>
          <w:rFonts w:ascii="Book Antiqua" w:hAnsi="Book Antiqua"/>
          <w:i/>
          <w:iCs/>
          <w:sz w:val="28"/>
          <w:szCs w:val="28"/>
        </w:rPr>
        <w:lastRenderedPageBreak/>
        <w:t>porque la tiranía es incompatible con la justicia, entonces el filósofo dice la verdad, cree que está diciendo la verdad, y aún más, asume el riesgo”.</w:t>
      </w:r>
    </w:p>
    <w:p w14:paraId="6934BD1B" w14:textId="77777777" w:rsidR="00043382" w:rsidRPr="00737386" w:rsidRDefault="00043382" w:rsidP="00043382">
      <w:pPr>
        <w:spacing w:line="360" w:lineRule="auto"/>
        <w:jc w:val="both"/>
        <w:rPr>
          <w:rFonts w:ascii="Book Antiqua" w:hAnsi="Book Antiqua"/>
          <w:sz w:val="28"/>
          <w:szCs w:val="28"/>
        </w:rPr>
      </w:pPr>
      <w:r w:rsidRPr="00737386">
        <w:rPr>
          <w:rFonts w:ascii="Book Antiqua" w:hAnsi="Book Antiqua"/>
          <w:sz w:val="28"/>
          <w:szCs w:val="28"/>
        </w:rPr>
        <w:t xml:space="preserve">El profesor Obarrio, junto con una vastísima cultura y un incansable afán de aprender, nunca deja de ser el fino jurista que adivina la estrategia procesal detrás del discurso: el enfoque de Sócrates, según el texto de Platón, que presenta la dicotomía entre verdad y falsedad junto al contraste entre retórica y simplicidad argumental, es el artificio retórico elegido por el filósofo para crear en el tribunal la convicción absolutoria que precisa. En opinión del autor, que cita como autoridad a Lledó, la sencillez e improvisación del discurso de Sócrates narrado por Platón es ciertamente fingida. Cualquier experto en oratoria, y aún más en dialéctica forense, sabe que no hay nada más efectivo en un discurso que la improvisación calculada y ensayada, y ello a pesar de que los testimonios contemporáneos nos cuentan cómo el reo rechazó preparar su discurso alegando que </w:t>
      </w:r>
      <w:r w:rsidRPr="00737386">
        <w:rPr>
          <w:rFonts w:ascii="Book Antiqua" w:hAnsi="Book Antiqua"/>
          <w:i/>
          <w:iCs/>
          <w:sz w:val="28"/>
          <w:szCs w:val="28"/>
        </w:rPr>
        <w:t>“¿acaso no he pasado toda mi vida preparando mi defensa?”</w:t>
      </w:r>
      <w:r w:rsidRPr="00737386">
        <w:rPr>
          <w:rFonts w:ascii="Book Antiqua" w:hAnsi="Book Antiqua"/>
          <w:sz w:val="28"/>
          <w:szCs w:val="28"/>
        </w:rPr>
        <w:t xml:space="preserve"> lo cual, sin duda, forma parte de la estrategia de defensa sincera y desprovista de artificio que Sócrates escogió.</w:t>
      </w:r>
    </w:p>
    <w:p w14:paraId="274792EC" w14:textId="77777777" w:rsidR="00043382" w:rsidRPr="00737386" w:rsidRDefault="00043382" w:rsidP="00043382">
      <w:pPr>
        <w:spacing w:line="360" w:lineRule="auto"/>
        <w:jc w:val="both"/>
        <w:rPr>
          <w:rFonts w:ascii="Book Antiqua" w:hAnsi="Book Antiqua"/>
          <w:sz w:val="28"/>
          <w:szCs w:val="28"/>
        </w:rPr>
      </w:pPr>
      <w:r w:rsidRPr="00737386">
        <w:rPr>
          <w:rFonts w:ascii="Book Antiqua" w:hAnsi="Book Antiqua"/>
          <w:sz w:val="28"/>
          <w:szCs w:val="28"/>
        </w:rPr>
        <w:t>El debate entre Sócrates y los sofistas es un tema clásico de la Historia de la Filosofía que Obarrio nos presenta a propósito del discurso de Sócrates con un enfoque que preocupa de manera vital al autor: la enseñanza. ¿Deben los docentes promover la búsqueda de la verdad por parte de los estudiantes o enseñarles a utilizar, de la manera que les sea más útil en el futuro, una serie de habilidades (competencias) sin apenas crítica ni referencia moral absoluta?</w:t>
      </w:r>
    </w:p>
    <w:p w14:paraId="7FDC209A" w14:textId="77777777" w:rsidR="00043382" w:rsidRPr="00737386" w:rsidRDefault="00043382" w:rsidP="00043382">
      <w:pPr>
        <w:spacing w:line="360" w:lineRule="auto"/>
        <w:jc w:val="both"/>
        <w:rPr>
          <w:rFonts w:ascii="Book Antiqua" w:hAnsi="Book Antiqua"/>
          <w:sz w:val="28"/>
          <w:szCs w:val="28"/>
        </w:rPr>
      </w:pPr>
      <w:r w:rsidRPr="00737386">
        <w:rPr>
          <w:rFonts w:ascii="Book Antiqua" w:hAnsi="Book Antiqua"/>
          <w:sz w:val="28"/>
          <w:szCs w:val="28"/>
        </w:rPr>
        <w:t xml:space="preserve">En su alegato, Sócrates distingue dos clases de enemigos, los antiguos que han esparcido el rumor y la maledicencia durante años contra él </w:t>
      </w:r>
      <w:r w:rsidRPr="00737386">
        <w:rPr>
          <w:rFonts w:ascii="Book Antiqua" w:hAnsi="Book Antiqua"/>
          <w:sz w:val="28"/>
          <w:szCs w:val="28"/>
        </w:rPr>
        <w:lastRenderedPageBreak/>
        <w:t xml:space="preserve">y los recientes que han formulado la acusación legal. Entre los primeros, los más temidos, sólo conocemos a Aristófanes, cuya comedia (una tragedia vestida de </w:t>
      </w:r>
      <w:proofErr w:type="gramStart"/>
      <w:r w:rsidRPr="00737386">
        <w:rPr>
          <w:rFonts w:ascii="Book Antiqua" w:hAnsi="Book Antiqua"/>
          <w:sz w:val="28"/>
          <w:szCs w:val="28"/>
        </w:rPr>
        <w:t>comedia,</w:t>
      </w:r>
      <w:proofErr w:type="gramEnd"/>
      <w:r w:rsidRPr="00737386">
        <w:rPr>
          <w:rFonts w:ascii="Book Antiqua" w:hAnsi="Book Antiqua"/>
          <w:sz w:val="28"/>
          <w:szCs w:val="28"/>
        </w:rPr>
        <w:t xml:space="preserve"> advierte Obarrio) </w:t>
      </w:r>
      <w:r w:rsidRPr="00737386">
        <w:rPr>
          <w:rFonts w:ascii="Book Antiqua" w:hAnsi="Book Antiqua"/>
          <w:i/>
          <w:iCs/>
          <w:sz w:val="28"/>
          <w:szCs w:val="28"/>
        </w:rPr>
        <w:t xml:space="preserve">Las Nubes, </w:t>
      </w:r>
      <w:r w:rsidRPr="00737386">
        <w:rPr>
          <w:rFonts w:ascii="Book Antiqua" w:hAnsi="Book Antiqua"/>
          <w:sz w:val="28"/>
          <w:szCs w:val="28"/>
        </w:rPr>
        <w:t xml:space="preserve">presenta un “Sócrates” necio, al que incluye en el grupo de sofistas, lo cual no deja de resultar paradójico, conociendo el desprecio del filósofo por los artífices de la palabra. Para dar sentido y contexto a la “acusación” que Sócrates refuta, Obarrio nos presenta unas pinceladas del Sócrates de Aristófanes, que se muestra como un chiflado líder de una secta esotérica, lo cual contrasta con las noticias del filósofo que recibimos de otros autores, Platón y Jenofonte, principalmente. El Sócrates de </w:t>
      </w:r>
      <w:r w:rsidRPr="00737386">
        <w:rPr>
          <w:rFonts w:ascii="Book Antiqua" w:hAnsi="Book Antiqua"/>
          <w:i/>
          <w:iCs/>
          <w:sz w:val="28"/>
          <w:szCs w:val="28"/>
        </w:rPr>
        <w:t>Las Nubes</w:t>
      </w:r>
      <w:r w:rsidRPr="00737386">
        <w:rPr>
          <w:rFonts w:ascii="Book Antiqua" w:hAnsi="Book Antiqua"/>
          <w:sz w:val="28"/>
          <w:szCs w:val="28"/>
        </w:rPr>
        <w:t xml:space="preserve"> es codicioso y blasfemo.</w:t>
      </w:r>
    </w:p>
    <w:p w14:paraId="3ADBAEFA" w14:textId="77777777" w:rsidR="00043382" w:rsidRPr="00737386" w:rsidRDefault="00043382" w:rsidP="00043382">
      <w:pPr>
        <w:spacing w:line="360" w:lineRule="auto"/>
        <w:jc w:val="both"/>
        <w:rPr>
          <w:rFonts w:ascii="Book Antiqua" w:hAnsi="Book Antiqua"/>
          <w:sz w:val="28"/>
          <w:szCs w:val="28"/>
        </w:rPr>
      </w:pPr>
      <w:r w:rsidRPr="00737386">
        <w:rPr>
          <w:rFonts w:ascii="Book Antiqua" w:hAnsi="Book Antiqua"/>
          <w:sz w:val="28"/>
          <w:szCs w:val="28"/>
        </w:rPr>
        <w:t xml:space="preserve">Esta última acusación es relacionada por Obarrio con el oráculo de Delfos que, según confiesa Sócrates en su discurso, lo designó como el hombre más sabio. Ante ello el filósofo exhibe una manifiesta humildad, señalando como, hecho notorio, que muchos otros hombres son más sabios que él, convencido de que los jueces no van a contradecir la palabra del oráculo, poniéndoles así ante una aporía. ¿Puede el oráculo declarar a un impío como el hombre más sabio de la Hélade?, se pregunta Obarrio formulando claramente el argumento que Sócrates desliza en el oído del tribunal. Una vez planteada la pregunta, el reo presenta a los jueces la que parece única solución posible: puesto que Sócrates no es el hombre más sabio y el oráculo no puede mentir, la respuesta de la Pitia es un enigma que debe ser resuelto, y para ello el reo se ve impelido a preguntar y examinar a todos los sabios de la ciudad, descubriendo que su propia ignorancia consciente es más sabia que la sabiduría errada de sus competidores. Ello justifica su desatención de los deberes ciudadanos </w:t>
      </w:r>
      <w:r w:rsidRPr="00737386">
        <w:rPr>
          <w:rFonts w:ascii="Book Antiqua" w:hAnsi="Book Antiqua"/>
          <w:sz w:val="28"/>
          <w:szCs w:val="28"/>
        </w:rPr>
        <w:lastRenderedPageBreak/>
        <w:t xml:space="preserve">y explica la animadversión de muchos ciudadanos, molestos con sus interrogatorios. </w:t>
      </w:r>
    </w:p>
    <w:p w14:paraId="18D4908D" w14:textId="77777777" w:rsidR="00043382" w:rsidRPr="00737386" w:rsidRDefault="00043382" w:rsidP="00043382">
      <w:pPr>
        <w:spacing w:line="360" w:lineRule="auto"/>
        <w:jc w:val="both"/>
        <w:rPr>
          <w:rFonts w:ascii="Book Antiqua" w:hAnsi="Book Antiqua"/>
          <w:sz w:val="28"/>
          <w:szCs w:val="28"/>
        </w:rPr>
      </w:pPr>
      <w:r w:rsidRPr="00737386">
        <w:rPr>
          <w:rFonts w:ascii="Book Antiqua" w:hAnsi="Book Antiqua"/>
          <w:sz w:val="28"/>
          <w:szCs w:val="28"/>
        </w:rPr>
        <w:t xml:space="preserve">A continuación, la </w:t>
      </w:r>
      <w:r w:rsidRPr="00737386">
        <w:rPr>
          <w:rFonts w:ascii="Book Antiqua" w:hAnsi="Book Antiqua"/>
          <w:i/>
          <w:iCs/>
          <w:sz w:val="28"/>
          <w:szCs w:val="28"/>
        </w:rPr>
        <w:t>Apología</w:t>
      </w:r>
      <w:r w:rsidRPr="00737386">
        <w:rPr>
          <w:rFonts w:ascii="Book Antiqua" w:hAnsi="Book Antiqua"/>
          <w:sz w:val="28"/>
          <w:szCs w:val="28"/>
        </w:rPr>
        <w:t xml:space="preserve"> recoge el interrogatorio al que somete Sócrates a Meleto. El autor analiza dicha narración desde la perspectiva de la técnica jurídica de la refutación, para comprobar que -desde el punto de vista de la lógica- Sócrates consigue desmontar todas las acusaciones. Obarrio contrasta las palabras de la Apología con el resto de </w:t>
      </w:r>
      <w:proofErr w:type="gramStart"/>
      <w:r w:rsidRPr="00737386">
        <w:rPr>
          <w:rFonts w:ascii="Book Antiqua" w:hAnsi="Book Antiqua"/>
          <w:sz w:val="28"/>
          <w:szCs w:val="28"/>
        </w:rPr>
        <w:t>fuentes</w:t>
      </w:r>
      <w:proofErr w:type="gramEnd"/>
      <w:r w:rsidRPr="00737386">
        <w:rPr>
          <w:rFonts w:ascii="Book Antiqua" w:hAnsi="Book Antiqua"/>
          <w:sz w:val="28"/>
          <w:szCs w:val="28"/>
        </w:rPr>
        <w:t xml:space="preserve"> textuales de que disponemos, ofreciendo un variado panorama de argumentos que refuerzan la veracidad de las alegaciones del filósofo.</w:t>
      </w:r>
    </w:p>
    <w:p w14:paraId="2DBA41FF" w14:textId="77777777" w:rsidR="00043382" w:rsidRPr="00737386" w:rsidRDefault="00043382" w:rsidP="00043382">
      <w:pPr>
        <w:spacing w:line="360" w:lineRule="auto"/>
        <w:jc w:val="both"/>
        <w:rPr>
          <w:rFonts w:ascii="Book Antiqua" w:hAnsi="Book Antiqua"/>
          <w:sz w:val="28"/>
          <w:szCs w:val="28"/>
        </w:rPr>
      </w:pPr>
      <w:r w:rsidRPr="00737386">
        <w:rPr>
          <w:rFonts w:ascii="Book Antiqua" w:hAnsi="Book Antiqua"/>
          <w:sz w:val="28"/>
          <w:szCs w:val="28"/>
        </w:rPr>
        <w:t>En la segunda parte del discurso de Sócrates, Obarrio advierte que la estrategia se centra en desmentir la calumnia. Frente a ella, consciente de la dificultad de refutar el rumor, Sócrates formula una velada referencia a la figura de Aquiles, quien venga la muerte de Patroclo matando a Héctor, a despecho de la muerte anunciada por su propia madre. Del mismo modo, Sócrates muestra su actividad filosófica como una función irrenunciable, arrostrando el destino que ello le comporta.</w:t>
      </w:r>
    </w:p>
    <w:p w14:paraId="5D82A622" w14:textId="77777777" w:rsidR="00043382" w:rsidRPr="00737386" w:rsidRDefault="00043382" w:rsidP="00043382">
      <w:pPr>
        <w:spacing w:line="360" w:lineRule="auto"/>
        <w:jc w:val="both"/>
        <w:rPr>
          <w:rFonts w:ascii="Book Antiqua" w:hAnsi="Book Antiqua"/>
          <w:sz w:val="28"/>
          <w:szCs w:val="28"/>
        </w:rPr>
      </w:pPr>
      <w:r w:rsidRPr="00737386">
        <w:rPr>
          <w:rFonts w:ascii="Book Antiqua" w:hAnsi="Book Antiqua"/>
          <w:sz w:val="28"/>
          <w:szCs w:val="28"/>
        </w:rPr>
        <w:t xml:space="preserve">En el capítulo IV analiza el segundo discurso de </w:t>
      </w:r>
      <w:r w:rsidRPr="00737386">
        <w:rPr>
          <w:rFonts w:ascii="Book Antiqua" w:hAnsi="Book Antiqua"/>
          <w:i/>
          <w:iCs/>
          <w:sz w:val="28"/>
          <w:szCs w:val="28"/>
        </w:rPr>
        <w:t>la Apología</w:t>
      </w:r>
      <w:r w:rsidRPr="00737386">
        <w:rPr>
          <w:rFonts w:ascii="Book Antiqua" w:hAnsi="Book Antiqua"/>
          <w:sz w:val="28"/>
          <w:szCs w:val="28"/>
        </w:rPr>
        <w:t xml:space="preserve"> en el que narra la sentencia condenatoria de Sócrates y la reacción del filósofo, que rechaza la alternativa del exilio y la sustitución de la muerte por cualquier otra pena. Al respecto del tercer discurso (capítulo V) Obarrio comparte con </w:t>
      </w:r>
      <w:proofErr w:type="spellStart"/>
      <w:r w:rsidRPr="00737386">
        <w:rPr>
          <w:rFonts w:ascii="Book Antiqua" w:hAnsi="Book Antiqua"/>
          <w:sz w:val="28"/>
          <w:szCs w:val="28"/>
        </w:rPr>
        <w:t>Brickhouse</w:t>
      </w:r>
      <w:proofErr w:type="spellEnd"/>
      <w:r w:rsidRPr="00737386">
        <w:rPr>
          <w:rFonts w:ascii="Book Antiqua" w:hAnsi="Book Antiqua"/>
          <w:sz w:val="28"/>
          <w:szCs w:val="28"/>
        </w:rPr>
        <w:t xml:space="preserve"> y Smith la opinión de que este discurso, pese a su excepcionalidad procedimental, debió producirse en efecto, ya que de lo contrario la credibilidad de Platón habría quedado en entredicho.</w:t>
      </w:r>
    </w:p>
    <w:p w14:paraId="782C3FAA" w14:textId="77777777" w:rsidR="00043382" w:rsidRPr="00737386" w:rsidRDefault="00043382" w:rsidP="00043382">
      <w:pPr>
        <w:spacing w:line="360" w:lineRule="auto"/>
        <w:jc w:val="both"/>
        <w:rPr>
          <w:rFonts w:ascii="Book Antiqua" w:hAnsi="Book Antiqua"/>
          <w:sz w:val="28"/>
          <w:szCs w:val="28"/>
        </w:rPr>
      </w:pPr>
      <w:r w:rsidRPr="00737386">
        <w:rPr>
          <w:rFonts w:ascii="Book Antiqua" w:hAnsi="Book Antiqua"/>
          <w:sz w:val="28"/>
          <w:szCs w:val="28"/>
        </w:rPr>
        <w:lastRenderedPageBreak/>
        <w:t xml:space="preserve">En este tercer discurso, Sócrates lanza una maldición a los jueces que lo han condenado injustamente: </w:t>
      </w:r>
      <w:r w:rsidRPr="00737386">
        <w:rPr>
          <w:rFonts w:ascii="Book Antiqua" w:hAnsi="Book Antiqua"/>
          <w:i/>
          <w:iCs/>
          <w:sz w:val="28"/>
          <w:szCs w:val="28"/>
        </w:rPr>
        <w:t>Por no querer aguardar un poco más de tiempo, os llevaréis, atenienses, la mala fama de haber hecho morir a Sócrates</w:t>
      </w:r>
      <w:r w:rsidRPr="00737386">
        <w:rPr>
          <w:rFonts w:ascii="Book Antiqua" w:hAnsi="Book Antiqua"/>
          <w:sz w:val="28"/>
          <w:szCs w:val="28"/>
        </w:rPr>
        <w:t xml:space="preserve"> y posteriormente se centra en aquellos que han votado a favor de su inocencia, para convencerlos de que la muerte es, en cualquier caso, una ganancia, pues o bien consiste en un eterno sueño sin ensoñaciones, o bien es un traslado a un estado en el que están todos los que nos han precedido. Obarrio, que además de un intelectual riguroso es un hombre de fe, descarta que Sócrates pudiera pensar en serio que la muerte pueda ser una eterna noche. Concluye el análisis de este discurso socrático con las palabras de Massimo Stella que encuentra en la muerte de Sócrates, la extinción de la Atenas de Pericles.</w:t>
      </w:r>
    </w:p>
    <w:p w14:paraId="54934A61" w14:textId="77777777" w:rsidR="00043382" w:rsidRPr="00737386" w:rsidRDefault="00043382" w:rsidP="00043382">
      <w:pPr>
        <w:spacing w:line="360" w:lineRule="auto"/>
        <w:jc w:val="both"/>
        <w:rPr>
          <w:rFonts w:ascii="Book Antiqua" w:hAnsi="Book Antiqua"/>
          <w:sz w:val="28"/>
          <w:szCs w:val="28"/>
        </w:rPr>
      </w:pPr>
      <w:r w:rsidRPr="00737386">
        <w:rPr>
          <w:rFonts w:ascii="Book Antiqua" w:hAnsi="Book Antiqua"/>
          <w:sz w:val="28"/>
          <w:szCs w:val="28"/>
        </w:rPr>
        <w:t xml:space="preserve">En el sexto y último capítulo, que se presenta como “epílogo”, Obarrio pone en conexión el diálogo </w:t>
      </w:r>
      <w:r w:rsidRPr="00737386">
        <w:rPr>
          <w:rFonts w:ascii="Book Antiqua" w:hAnsi="Book Antiqua"/>
          <w:i/>
          <w:iCs/>
          <w:sz w:val="28"/>
          <w:szCs w:val="28"/>
        </w:rPr>
        <w:t>Critón</w:t>
      </w:r>
      <w:r w:rsidRPr="00737386">
        <w:rPr>
          <w:rFonts w:ascii="Book Antiqua" w:hAnsi="Book Antiqua"/>
          <w:sz w:val="28"/>
          <w:szCs w:val="28"/>
        </w:rPr>
        <w:t xml:space="preserve"> con la </w:t>
      </w:r>
      <w:r w:rsidRPr="00737386">
        <w:rPr>
          <w:rFonts w:ascii="Book Antiqua" w:hAnsi="Book Antiqua"/>
          <w:i/>
          <w:iCs/>
          <w:sz w:val="28"/>
          <w:szCs w:val="28"/>
        </w:rPr>
        <w:t xml:space="preserve">Apología, </w:t>
      </w:r>
      <w:r w:rsidRPr="00737386">
        <w:rPr>
          <w:rFonts w:ascii="Book Antiqua" w:hAnsi="Book Antiqua"/>
          <w:sz w:val="28"/>
          <w:szCs w:val="28"/>
        </w:rPr>
        <w:t xml:space="preserve">para realizar una interesante reflexión sobre la actitud de Sócrates ante la condena injusta en la que Obarrio se pregunta por el fundamento último del deber del ciudadano de cumplir las leyes, para argumentar que la obligación del ciudadano no es la simple obediencia ciega. El buen ciudadano, personificado en Sócrates, debe actuar rectamente en toda su vida, cumplir las leyes y si se encuentra con una norma injusta, debe tratar de persuadir al Estado de su iniquidad. Pero llegado el punto en que resulta imposible convencer a los jueces o legisladores, es preferible sufrir la injusticia que padecerla. Sólo hay, advierte Obarrio, una excepción: la tiranía. En un estado tiránico en el que no hay, propiamente, ley sino caprichos de un dictador, el </w:t>
      </w:r>
      <w:r w:rsidRPr="00737386">
        <w:rPr>
          <w:rFonts w:ascii="Book Antiqua" w:hAnsi="Book Antiqua"/>
          <w:sz w:val="28"/>
          <w:szCs w:val="28"/>
        </w:rPr>
        <w:lastRenderedPageBreak/>
        <w:t>hombre se convierte en algo sagrado y la resistencia o la fuga serán lícitos.</w:t>
      </w:r>
    </w:p>
    <w:p w14:paraId="31993B30" w14:textId="77777777" w:rsidR="00043382" w:rsidRPr="00737386" w:rsidRDefault="00043382" w:rsidP="00043382">
      <w:pPr>
        <w:spacing w:line="360" w:lineRule="auto"/>
        <w:jc w:val="both"/>
        <w:rPr>
          <w:rFonts w:ascii="Book Antiqua" w:hAnsi="Book Antiqua"/>
          <w:sz w:val="28"/>
          <w:szCs w:val="28"/>
        </w:rPr>
      </w:pPr>
      <w:r w:rsidRPr="00737386">
        <w:rPr>
          <w:rFonts w:ascii="Book Antiqua" w:hAnsi="Book Antiqua"/>
          <w:sz w:val="28"/>
          <w:szCs w:val="28"/>
        </w:rPr>
        <w:t xml:space="preserve">Para concluir su reflexión sobre la antigüedad, Obarrio acompaña a su estudio una “coda”. En ella el autor advierte, como ya hizo al principio, que su obra no pretende ser una “lectura definitiva” de la </w:t>
      </w:r>
      <w:r w:rsidRPr="00737386">
        <w:rPr>
          <w:rFonts w:ascii="Book Antiqua" w:hAnsi="Book Antiqua"/>
          <w:i/>
          <w:iCs/>
          <w:sz w:val="28"/>
          <w:szCs w:val="28"/>
        </w:rPr>
        <w:t>Apología</w:t>
      </w:r>
      <w:r w:rsidRPr="00737386">
        <w:rPr>
          <w:rFonts w:ascii="Book Antiqua" w:hAnsi="Book Antiqua"/>
          <w:sz w:val="28"/>
          <w:szCs w:val="28"/>
        </w:rPr>
        <w:t xml:space="preserve"> sino una interpretación personal que ofrece al lector. Frente a ello, Obarrio reconoce el valor que la obra ha tenido para sí mismo, en lo que tiene de reflexión y estudio.</w:t>
      </w:r>
    </w:p>
    <w:p w14:paraId="5E807302" w14:textId="77777777" w:rsidR="00043382" w:rsidRPr="00737386" w:rsidRDefault="00043382" w:rsidP="00043382">
      <w:pPr>
        <w:spacing w:line="360" w:lineRule="auto"/>
        <w:jc w:val="both"/>
        <w:rPr>
          <w:rFonts w:ascii="Book Antiqua" w:hAnsi="Book Antiqua"/>
          <w:sz w:val="28"/>
          <w:szCs w:val="28"/>
        </w:rPr>
      </w:pPr>
      <w:r w:rsidRPr="00737386">
        <w:rPr>
          <w:rFonts w:ascii="Book Antiqua" w:hAnsi="Book Antiqua"/>
          <w:sz w:val="28"/>
          <w:szCs w:val="28"/>
        </w:rPr>
        <w:t xml:space="preserve">Estamos, en nuestra opinión, ante una profunda, atinada y muy sólidamente argumentada, meditación sobre la </w:t>
      </w:r>
      <w:r w:rsidRPr="00737386">
        <w:rPr>
          <w:rFonts w:ascii="Book Antiqua" w:hAnsi="Book Antiqua"/>
          <w:i/>
          <w:iCs/>
          <w:sz w:val="28"/>
          <w:szCs w:val="28"/>
        </w:rPr>
        <w:t>Apología</w:t>
      </w:r>
      <w:r w:rsidRPr="00737386">
        <w:rPr>
          <w:rFonts w:ascii="Book Antiqua" w:hAnsi="Book Antiqua"/>
          <w:sz w:val="28"/>
          <w:szCs w:val="28"/>
        </w:rPr>
        <w:t xml:space="preserve">. Es posible que, como dice el autor, no sea la lectura definitiva, pero no por falta de estudio o cuerpo crítico sino porque ante una obra tan trascendente como la </w:t>
      </w:r>
      <w:r w:rsidRPr="00737386">
        <w:rPr>
          <w:rFonts w:ascii="Book Antiqua" w:hAnsi="Book Antiqua"/>
          <w:i/>
          <w:iCs/>
          <w:sz w:val="28"/>
          <w:szCs w:val="28"/>
        </w:rPr>
        <w:t>Apología</w:t>
      </w:r>
      <w:r w:rsidRPr="00737386">
        <w:rPr>
          <w:rFonts w:ascii="Book Antiqua" w:hAnsi="Book Antiqua"/>
          <w:sz w:val="28"/>
          <w:szCs w:val="28"/>
        </w:rPr>
        <w:t xml:space="preserve"> sería erróneo tratar de presentar tal clase de lectura. Con acierto, Obarrio renuncia desde el principio a zanjar las múltiples cuestiones que nos lanza Sócrates a través del tiempo; </w:t>
      </w:r>
      <w:proofErr w:type="gramStart"/>
      <w:r w:rsidRPr="00737386">
        <w:rPr>
          <w:rFonts w:ascii="Book Antiqua" w:hAnsi="Book Antiqua"/>
          <w:sz w:val="28"/>
          <w:szCs w:val="28"/>
        </w:rPr>
        <w:t>antes</w:t>
      </w:r>
      <w:proofErr w:type="gramEnd"/>
      <w:r w:rsidRPr="00737386">
        <w:rPr>
          <w:rFonts w:ascii="Book Antiqua" w:hAnsi="Book Antiqua"/>
          <w:sz w:val="28"/>
          <w:szCs w:val="28"/>
        </w:rPr>
        <w:t xml:space="preserve"> al contrario, el estudio de Obarrio se muestra como una de esas guías de viaje que ofrecen al turista el contexto y las herramientas para que pueda disfrutar de la experiencia única de la visita, sin las cuales el viajero se vería desarmado en territorio inhóspito. Del mismo modo, las aportaciones de Obarrio no suplen, en absoluto, la lectura de la obra </w:t>
      </w:r>
      <w:proofErr w:type="spellStart"/>
      <w:r w:rsidRPr="00737386">
        <w:rPr>
          <w:rFonts w:ascii="Book Antiqua" w:hAnsi="Book Antiqua"/>
          <w:sz w:val="28"/>
          <w:szCs w:val="28"/>
        </w:rPr>
        <w:t>platoniana</w:t>
      </w:r>
      <w:proofErr w:type="spellEnd"/>
      <w:r w:rsidRPr="00737386">
        <w:rPr>
          <w:rFonts w:ascii="Book Antiqua" w:hAnsi="Book Antiqua"/>
          <w:sz w:val="28"/>
          <w:szCs w:val="28"/>
        </w:rPr>
        <w:t xml:space="preserve">. Al contrario, cada frase, cada referencia, invita a abrir de nuevo la </w:t>
      </w:r>
      <w:r w:rsidRPr="00737386">
        <w:rPr>
          <w:rFonts w:ascii="Book Antiqua" w:hAnsi="Book Antiqua"/>
          <w:i/>
          <w:iCs/>
          <w:sz w:val="28"/>
          <w:szCs w:val="28"/>
        </w:rPr>
        <w:t>Apología</w:t>
      </w:r>
      <w:r w:rsidRPr="00737386">
        <w:rPr>
          <w:rFonts w:ascii="Book Antiqua" w:hAnsi="Book Antiqua"/>
          <w:sz w:val="28"/>
          <w:szCs w:val="28"/>
        </w:rPr>
        <w:t xml:space="preserve"> para contrastar la palabra escrita hace 2.500 años con las interpretaciones que presenta Obarrio y formular así nuestra propia lectura. Éste es, a mi juicio, el verdadero valor de la obra del profesor valenciano: ofrecerse como hilo de Ariadna y espada de Egeo, para que el lector se adentre en el laberinto, recorriendo su propio camino, con la seguridad de </w:t>
      </w:r>
      <w:r w:rsidRPr="00737386">
        <w:rPr>
          <w:rFonts w:ascii="Book Antiqua" w:hAnsi="Book Antiqua"/>
          <w:sz w:val="28"/>
          <w:szCs w:val="28"/>
        </w:rPr>
        <w:lastRenderedPageBreak/>
        <w:t xml:space="preserve">encontrar una senda por la que retornar con éxito. Aunque, lo advierte Obarrio en la coda, el lector que regresa de una lectura profunda de la </w:t>
      </w:r>
      <w:r w:rsidRPr="00737386">
        <w:rPr>
          <w:rFonts w:ascii="Book Antiqua" w:hAnsi="Book Antiqua"/>
          <w:i/>
          <w:iCs/>
          <w:sz w:val="28"/>
          <w:szCs w:val="28"/>
        </w:rPr>
        <w:t>Apología</w:t>
      </w:r>
      <w:r w:rsidRPr="00737386">
        <w:rPr>
          <w:rFonts w:ascii="Book Antiqua" w:hAnsi="Book Antiqua"/>
          <w:sz w:val="28"/>
          <w:szCs w:val="28"/>
        </w:rPr>
        <w:t xml:space="preserve"> nunca será el mismo que se adentró en ella.</w:t>
      </w:r>
    </w:p>
    <w:p w14:paraId="00C8F403" w14:textId="77777777" w:rsidR="00043382" w:rsidRPr="00737386" w:rsidRDefault="00043382" w:rsidP="00043382">
      <w:pPr>
        <w:spacing w:line="360" w:lineRule="auto"/>
        <w:jc w:val="both"/>
        <w:rPr>
          <w:rFonts w:ascii="Book Antiqua" w:hAnsi="Book Antiqua"/>
          <w:sz w:val="28"/>
          <w:szCs w:val="28"/>
        </w:rPr>
      </w:pPr>
    </w:p>
    <w:p w14:paraId="3845DA3A" w14:textId="77777777" w:rsidR="00043382" w:rsidRPr="00737386" w:rsidRDefault="00043382" w:rsidP="00043382">
      <w:pPr>
        <w:spacing w:line="360" w:lineRule="auto"/>
        <w:jc w:val="both"/>
        <w:rPr>
          <w:rFonts w:ascii="Book Antiqua" w:hAnsi="Book Antiqua"/>
          <w:sz w:val="28"/>
          <w:szCs w:val="28"/>
        </w:rPr>
      </w:pPr>
    </w:p>
    <w:p w14:paraId="6AD1B351" w14:textId="77777777" w:rsidR="00043382" w:rsidRPr="00737386" w:rsidRDefault="00043382" w:rsidP="00043382">
      <w:pPr>
        <w:spacing w:line="360" w:lineRule="auto"/>
        <w:jc w:val="both"/>
        <w:rPr>
          <w:rFonts w:ascii="Book Antiqua" w:hAnsi="Book Antiqua"/>
          <w:sz w:val="28"/>
          <w:szCs w:val="28"/>
        </w:rPr>
      </w:pPr>
    </w:p>
    <w:p w14:paraId="4B07E6A1" w14:textId="37E3E913" w:rsidR="00CF1325" w:rsidRPr="00310021" w:rsidRDefault="00CF1325" w:rsidP="00043382">
      <w:pPr>
        <w:spacing w:line="360" w:lineRule="auto"/>
        <w:jc w:val="both"/>
        <w:rPr>
          <w:sz w:val="24"/>
          <w:szCs w:val="24"/>
        </w:rPr>
      </w:pPr>
    </w:p>
    <w:sectPr w:rsidR="00CF1325"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8C2A3" w14:textId="77777777" w:rsidR="0062260D" w:rsidRDefault="0062260D" w:rsidP="008C2933">
      <w:r>
        <w:separator/>
      </w:r>
    </w:p>
  </w:endnote>
  <w:endnote w:type="continuationSeparator" w:id="0">
    <w:p w14:paraId="1C8FE2B9" w14:textId="77777777" w:rsidR="0062260D" w:rsidRDefault="0062260D"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62260D"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BDA2D" w14:textId="77777777" w:rsidR="0062260D" w:rsidRDefault="0062260D" w:rsidP="008C2933">
      <w:r>
        <w:separator/>
      </w:r>
    </w:p>
  </w:footnote>
  <w:footnote w:type="continuationSeparator" w:id="0">
    <w:p w14:paraId="74AE75D9" w14:textId="77777777" w:rsidR="0062260D" w:rsidRDefault="0062260D" w:rsidP="008C2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A0EABB3" w:rsidR="006B0386" w:rsidRPr="008E5A1F" w:rsidRDefault="00B95B3C"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006B0386" w:rsidRPr="008E5A1F">
      <w:rPr>
        <w:rFonts w:ascii="Book Antiqua" w:hAnsi="Book Antiqua"/>
        <w:b/>
        <w:bCs/>
        <w:color w:val="808080" w:themeColor="background1" w:themeShade="80"/>
      </w:rPr>
      <w:t>-</w:t>
    </w:r>
    <w:r>
      <w:rPr>
        <w:rFonts w:ascii="Book Antiqua" w:hAnsi="Book Antiqua"/>
        <w:b/>
        <w:bCs/>
        <w:color w:val="808080" w:themeColor="background1" w:themeShade="8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007A3"/>
    <w:rsid w:val="000015C6"/>
    <w:rsid w:val="000361B4"/>
    <w:rsid w:val="00040110"/>
    <w:rsid w:val="00040C66"/>
    <w:rsid w:val="00042456"/>
    <w:rsid w:val="00043382"/>
    <w:rsid w:val="0007351B"/>
    <w:rsid w:val="00085FDA"/>
    <w:rsid w:val="00090D5C"/>
    <w:rsid w:val="00092EFD"/>
    <w:rsid w:val="000A3C47"/>
    <w:rsid w:val="000C0D90"/>
    <w:rsid w:val="000C3BA7"/>
    <w:rsid w:val="000C6BBA"/>
    <w:rsid w:val="000D5607"/>
    <w:rsid w:val="000E6ADA"/>
    <w:rsid w:val="000F0AF7"/>
    <w:rsid w:val="00100AD2"/>
    <w:rsid w:val="001038CC"/>
    <w:rsid w:val="00147932"/>
    <w:rsid w:val="001637C6"/>
    <w:rsid w:val="00192159"/>
    <w:rsid w:val="00192692"/>
    <w:rsid w:val="001927BD"/>
    <w:rsid w:val="00197421"/>
    <w:rsid w:val="001D23E4"/>
    <w:rsid w:val="001E0924"/>
    <w:rsid w:val="001E0E6C"/>
    <w:rsid w:val="001F5F99"/>
    <w:rsid w:val="00214287"/>
    <w:rsid w:val="00215779"/>
    <w:rsid w:val="00221D4F"/>
    <w:rsid w:val="00233F98"/>
    <w:rsid w:val="00242647"/>
    <w:rsid w:val="00243FDD"/>
    <w:rsid w:val="00254E39"/>
    <w:rsid w:val="0025630B"/>
    <w:rsid w:val="0026574C"/>
    <w:rsid w:val="00274485"/>
    <w:rsid w:val="002B1FB9"/>
    <w:rsid w:val="002C0795"/>
    <w:rsid w:val="002C405A"/>
    <w:rsid w:val="002D2CB5"/>
    <w:rsid w:val="002F55E3"/>
    <w:rsid w:val="00310021"/>
    <w:rsid w:val="00312B24"/>
    <w:rsid w:val="00314AAE"/>
    <w:rsid w:val="00326BC6"/>
    <w:rsid w:val="003800A5"/>
    <w:rsid w:val="0039290D"/>
    <w:rsid w:val="003B3C70"/>
    <w:rsid w:val="003B5DCE"/>
    <w:rsid w:val="003E012B"/>
    <w:rsid w:val="003E0BEE"/>
    <w:rsid w:val="003E0D6A"/>
    <w:rsid w:val="003E54D5"/>
    <w:rsid w:val="004007FE"/>
    <w:rsid w:val="00401B74"/>
    <w:rsid w:val="00427063"/>
    <w:rsid w:val="00431BF1"/>
    <w:rsid w:val="00435BCC"/>
    <w:rsid w:val="00443305"/>
    <w:rsid w:val="00445A11"/>
    <w:rsid w:val="0047065F"/>
    <w:rsid w:val="00470F09"/>
    <w:rsid w:val="00471150"/>
    <w:rsid w:val="00481355"/>
    <w:rsid w:val="004A104B"/>
    <w:rsid w:val="004D64E8"/>
    <w:rsid w:val="004E0981"/>
    <w:rsid w:val="00514D56"/>
    <w:rsid w:val="005174E3"/>
    <w:rsid w:val="00533931"/>
    <w:rsid w:val="00533950"/>
    <w:rsid w:val="005459A2"/>
    <w:rsid w:val="00547291"/>
    <w:rsid w:val="00553062"/>
    <w:rsid w:val="00573053"/>
    <w:rsid w:val="00575480"/>
    <w:rsid w:val="005A5BBB"/>
    <w:rsid w:val="005B3F03"/>
    <w:rsid w:val="005D63AE"/>
    <w:rsid w:val="005E2878"/>
    <w:rsid w:val="005E6B33"/>
    <w:rsid w:val="005E7751"/>
    <w:rsid w:val="005F0963"/>
    <w:rsid w:val="006073EF"/>
    <w:rsid w:val="0062260D"/>
    <w:rsid w:val="006368B4"/>
    <w:rsid w:val="0066555C"/>
    <w:rsid w:val="00686EAF"/>
    <w:rsid w:val="00687AAB"/>
    <w:rsid w:val="00687DAD"/>
    <w:rsid w:val="0069337C"/>
    <w:rsid w:val="006B0386"/>
    <w:rsid w:val="006D1960"/>
    <w:rsid w:val="006D2084"/>
    <w:rsid w:val="006D5D80"/>
    <w:rsid w:val="006E0F25"/>
    <w:rsid w:val="006F0BC6"/>
    <w:rsid w:val="007168FE"/>
    <w:rsid w:val="00764E3E"/>
    <w:rsid w:val="00773F49"/>
    <w:rsid w:val="007901CF"/>
    <w:rsid w:val="00791E87"/>
    <w:rsid w:val="007D4E51"/>
    <w:rsid w:val="007F4F39"/>
    <w:rsid w:val="00802224"/>
    <w:rsid w:val="00807CD5"/>
    <w:rsid w:val="0082657A"/>
    <w:rsid w:val="0082693B"/>
    <w:rsid w:val="00827BBB"/>
    <w:rsid w:val="00835C92"/>
    <w:rsid w:val="00840045"/>
    <w:rsid w:val="00844DEE"/>
    <w:rsid w:val="00854C25"/>
    <w:rsid w:val="008963DC"/>
    <w:rsid w:val="008B0192"/>
    <w:rsid w:val="008C1722"/>
    <w:rsid w:val="008C2933"/>
    <w:rsid w:val="008D12F6"/>
    <w:rsid w:val="008E5A1F"/>
    <w:rsid w:val="00912B9F"/>
    <w:rsid w:val="009273B9"/>
    <w:rsid w:val="00927E12"/>
    <w:rsid w:val="00951F1F"/>
    <w:rsid w:val="00962B5E"/>
    <w:rsid w:val="00963180"/>
    <w:rsid w:val="00973E95"/>
    <w:rsid w:val="00977155"/>
    <w:rsid w:val="00977BF5"/>
    <w:rsid w:val="009C2FB3"/>
    <w:rsid w:val="009C37A5"/>
    <w:rsid w:val="009F4694"/>
    <w:rsid w:val="00A05173"/>
    <w:rsid w:val="00A659E0"/>
    <w:rsid w:val="00A746B1"/>
    <w:rsid w:val="00A9565F"/>
    <w:rsid w:val="00AA0034"/>
    <w:rsid w:val="00AD48BC"/>
    <w:rsid w:val="00B3557B"/>
    <w:rsid w:val="00B44A15"/>
    <w:rsid w:val="00B47F62"/>
    <w:rsid w:val="00B95B3C"/>
    <w:rsid w:val="00B95CAA"/>
    <w:rsid w:val="00BA0ED5"/>
    <w:rsid w:val="00BB2CA8"/>
    <w:rsid w:val="00BC2CC7"/>
    <w:rsid w:val="00BD33AF"/>
    <w:rsid w:val="00BF0895"/>
    <w:rsid w:val="00BF3DB9"/>
    <w:rsid w:val="00C11FF2"/>
    <w:rsid w:val="00C3051E"/>
    <w:rsid w:val="00C33BD3"/>
    <w:rsid w:val="00C34420"/>
    <w:rsid w:val="00C34434"/>
    <w:rsid w:val="00C94040"/>
    <w:rsid w:val="00C967CD"/>
    <w:rsid w:val="00CD0CC1"/>
    <w:rsid w:val="00CD384B"/>
    <w:rsid w:val="00CD4509"/>
    <w:rsid w:val="00CE5D71"/>
    <w:rsid w:val="00CF1325"/>
    <w:rsid w:val="00D17F83"/>
    <w:rsid w:val="00D235F8"/>
    <w:rsid w:val="00D3143C"/>
    <w:rsid w:val="00D82D0C"/>
    <w:rsid w:val="00D84662"/>
    <w:rsid w:val="00D97914"/>
    <w:rsid w:val="00DA553D"/>
    <w:rsid w:val="00DC6B52"/>
    <w:rsid w:val="00DD171C"/>
    <w:rsid w:val="00E3487C"/>
    <w:rsid w:val="00E60F8B"/>
    <w:rsid w:val="00E677FC"/>
    <w:rsid w:val="00E96581"/>
    <w:rsid w:val="00EC1C68"/>
    <w:rsid w:val="00EC557E"/>
    <w:rsid w:val="00EE3298"/>
    <w:rsid w:val="00EF17EF"/>
    <w:rsid w:val="00F23449"/>
    <w:rsid w:val="00F300B7"/>
    <w:rsid w:val="00F32DB4"/>
    <w:rsid w:val="00F3622A"/>
    <w:rsid w:val="00F421A3"/>
    <w:rsid w:val="00F57505"/>
    <w:rsid w:val="00F820A5"/>
    <w:rsid w:val="00F8222F"/>
    <w:rsid w:val="00F8590F"/>
    <w:rsid w:val="00FE0CBE"/>
    <w:rsid w:val="00FE75C7"/>
    <w:rsid w:val="00FF0E4B"/>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5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ListParagraph">
    <w:name w:val="List Paragraph"/>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SubtleReference">
    <w:name w:val="Subtle Reference"/>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IntenseReference">
    <w:name w:val="Intense Reference"/>
    <w:rsid w:val="006E0F25"/>
    <w:rPr>
      <w:rFonts w:cs="Times New Roman"/>
      <w:b/>
      <w:bCs/>
      <w:smallCaps/>
      <w:color w:val="4472C4"/>
      <w:spacing w:val="5"/>
    </w:rPr>
  </w:style>
  <w:style w:type="paragraph" w:customStyle="1" w:styleId="Revision">
    <w:name w:val="Revision"/>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 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 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Prrafodelista">
    <w:name w:val="List Paragraph"/>
    <w:basedOn w:val="Normal"/>
    <w:link w:val="PrrafodelistaCar"/>
    <w:uiPriority w:val="34"/>
    <w:qFormat/>
    <w:rsid w:val="0044330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085FDA"/>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eastAsia="es-ES"/>
    </w:rPr>
  </w:style>
  <w:style w:type="paragraph" w:styleId="Textoindependiente">
    <w:name w:val="Body Text"/>
    <w:basedOn w:val="Normal"/>
    <w:link w:val="TextoindependienteCar"/>
    <w:uiPriority w:val="1"/>
    <w:qFormat/>
    <w:rsid w:val="00085FDA"/>
    <w:pPr>
      <w:autoSpaceDE w:val="0"/>
      <w:spacing w:line="360" w:lineRule="auto"/>
      <w:jc w:val="both"/>
    </w:pPr>
    <w:rPr>
      <w:rFonts w:ascii="Times New Roman" w:eastAsia="Times New Roman" w:hAnsi="Times New Roman" w:cs="Times New Roman"/>
      <w:sz w:val="24"/>
      <w:szCs w:val="24"/>
      <w:lang w:val="en-US" w:eastAsia="en-US" w:bidi="en-US"/>
    </w:rPr>
  </w:style>
  <w:style w:type="character" w:customStyle="1" w:styleId="TextoindependienteCar">
    <w:name w:val="Texto independiente Car"/>
    <w:basedOn w:val="Fuentedeprrafopredeter"/>
    <w:link w:val="Textoindependiente"/>
    <w:uiPriority w:val="1"/>
    <w:rsid w:val="00085FDA"/>
    <w:rPr>
      <w:rFonts w:ascii="Times New Roman" w:eastAsia="Times New Roman" w:hAnsi="Times New Roman" w:cs="Times New Roman"/>
      <w:sz w:val="24"/>
      <w:szCs w:val="24"/>
      <w:lang w:val="en-US" w:bidi="en-US"/>
    </w:rPr>
  </w:style>
  <w:style w:type="paragraph" w:customStyle="1" w:styleId="Ttulo11">
    <w:name w:val="Título 11"/>
    <w:basedOn w:val="Normal"/>
    <w:uiPriority w:val="1"/>
    <w:qFormat/>
    <w:rsid w:val="00085FDA"/>
    <w:pPr>
      <w:autoSpaceDE w:val="0"/>
      <w:spacing w:line="360" w:lineRule="auto"/>
      <w:ind w:left="341" w:hanging="240"/>
      <w:jc w:val="both"/>
      <w:outlineLvl w:val="1"/>
    </w:pPr>
    <w:rPr>
      <w:rFonts w:ascii="Times New Roman" w:eastAsia="Times New Roman" w:hAnsi="Times New Roman" w:cs="Times New Roman"/>
      <w:b/>
      <w:bCs/>
      <w:sz w:val="24"/>
      <w:szCs w:val="24"/>
      <w:lang w:val="en-US" w:eastAsia="en-US" w:bidi="en-US"/>
    </w:rPr>
  </w:style>
  <w:style w:type="paragraph" w:styleId="Sangra3detindependiente">
    <w:name w:val="Body Text Indent 3"/>
    <w:basedOn w:val="Normal"/>
    <w:link w:val="Sangra3detindependienteCar"/>
    <w:rsid w:val="00085FDA"/>
    <w:pPr>
      <w:spacing w:after="120"/>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085FDA"/>
    <w:rPr>
      <w:rFonts w:ascii="Times New Roman" w:eastAsia="Times New Roman" w:hAnsi="Times New Roman" w:cs="Times New Roman"/>
      <w:sz w:val="16"/>
      <w:szCs w:val="16"/>
      <w:lang w:eastAsia="es-ES"/>
    </w:rPr>
  </w:style>
  <w:style w:type="character" w:customStyle="1" w:styleId="content">
    <w:name w:val="content"/>
    <w:basedOn w:val="Fuentedeprrafopredeter"/>
    <w:rsid w:val="00085FDA"/>
  </w:style>
  <w:style w:type="character" w:customStyle="1" w:styleId="separator">
    <w:name w:val="separator"/>
    <w:basedOn w:val="Fuentedeprrafopredeter"/>
    <w:rsid w:val="00085FDA"/>
  </w:style>
  <w:style w:type="paragraph" w:customStyle="1" w:styleId="a0">
    <w:name w:val="Абзац"/>
    <w:basedOn w:val="Normal"/>
    <w:rsid w:val="007901CF"/>
    <w:pPr>
      <w:spacing w:line="360" w:lineRule="auto"/>
      <w:ind w:firstLine="709"/>
      <w:jc w:val="both"/>
    </w:pPr>
    <w:rPr>
      <w:rFonts w:ascii="Times New Roman" w:eastAsia="Times New Roman" w:hAnsi="Times New Roman" w:cs="Times New Roman"/>
      <w:sz w:val="28"/>
      <w:szCs w:val="24"/>
      <w:lang w:val="ru-RU" w:eastAsia="ru-RU"/>
    </w:rPr>
  </w:style>
  <w:style w:type="character" w:customStyle="1" w:styleId="longtext">
    <w:name w:val="long_text"/>
    <w:basedOn w:val="Fuentedeprrafopredeter"/>
    <w:rsid w:val="007901CF"/>
  </w:style>
  <w:style w:type="character" w:customStyle="1" w:styleId="PrrafodelistaCar">
    <w:name w:val="Párrafo de lista Car"/>
    <w:link w:val="Prrafodelista"/>
    <w:uiPriority w:val="34"/>
    <w:locked/>
    <w:rsid w:val="00CF1325"/>
  </w:style>
  <w:style w:type="paragraph" w:customStyle="1" w:styleId="Estilo3">
    <w:name w:val="Estilo3"/>
    <w:basedOn w:val="Normal"/>
    <w:next w:val="Normal"/>
    <w:link w:val="Estilo3Car"/>
    <w:qFormat/>
    <w:rsid w:val="00CF1325"/>
    <w:pPr>
      <w:autoSpaceDE w:val="0"/>
      <w:autoSpaceDN w:val="0"/>
      <w:adjustRightInd w:val="0"/>
      <w:spacing w:before="240"/>
      <w:ind w:left="-284" w:firstLine="284"/>
      <w:jc w:val="both"/>
    </w:pPr>
    <w:rPr>
      <w:rFonts w:ascii="Times New Roman" w:eastAsiaTheme="minorHAnsi" w:hAnsi="Times New Roman" w:cs="Times New Roman"/>
      <w:color w:val="000000"/>
      <w:lang w:eastAsia="en-US"/>
    </w:rPr>
  </w:style>
  <w:style w:type="character" w:customStyle="1" w:styleId="Estilo3Car">
    <w:name w:val="Estilo3 Car"/>
    <w:basedOn w:val="Fuentedeprrafopredeter"/>
    <w:link w:val="Estilo3"/>
    <w:rsid w:val="00CF1325"/>
    <w:rPr>
      <w:rFonts w:ascii="Times New Roman" w:hAnsi="Times New Roman" w:cs="Times New Roman"/>
      <w:color w:val="000000"/>
      <w:sz w:val="20"/>
      <w:szCs w:val="20"/>
    </w:rPr>
  </w:style>
  <w:style w:type="paragraph" w:customStyle="1" w:styleId="Estilo1">
    <w:name w:val="Estilo1"/>
    <w:basedOn w:val="Normal"/>
    <w:link w:val="Estilo1Car"/>
    <w:uiPriority w:val="99"/>
    <w:qFormat/>
    <w:rsid w:val="00CF1325"/>
    <w:pPr>
      <w:spacing w:after="200" w:line="276" w:lineRule="auto"/>
      <w:ind w:left="2127" w:right="-427" w:hanging="1985"/>
      <w:jc w:val="both"/>
    </w:pPr>
    <w:rPr>
      <w:rFonts w:ascii="Times New Roman" w:eastAsia="Times New Roman" w:hAnsi="Times New Roman" w:cs="Times New Roman"/>
    </w:rPr>
  </w:style>
  <w:style w:type="character" w:customStyle="1" w:styleId="Estilo1Car">
    <w:name w:val="Estilo1 Car"/>
    <w:basedOn w:val="Fuentedeprrafopredeter"/>
    <w:link w:val="Estilo1"/>
    <w:uiPriority w:val="99"/>
    <w:rsid w:val="00CF132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iaz-bautista@um.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8A44D-54E6-4C39-805F-566A7E09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9</Pages>
  <Words>1988</Words>
  <Characters>10940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OBARRIO, Juan Alfredo. Un estudio sobre la Antigüedad: la apología de Sócrates. Dykinson, Madrid, 2018, 211pp.</vt:lpstr>
    </vt:vector>
  </TitlesOfParts>
  <Manager>Gustavo de las Heras</Manager>
  <Company>RIDROM</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OBARRIO, Juan Alfredo. Un estudio sobre la Antigüedad: la apología de Sócrates. Dykinson, Madrid, 2018, 211pp.</dc:title>
  <dc:subject>DÍAZ-BAUTISTA, Adolfo. OBARRIO, Juan Alfredo. Un estudio sobre la Antigüedad: la apología de Sócrates. Dykinson, Madrid, 2018, 211pp. RIDROM [on line]. 24-2020.  ISSN 1989-1970.  p. 661-669. http://www.ridrom.uclm.es</dc:subject>
  <dc:creator>DÍAZ-BAUTISTA, Adolfo</dc:creator>
  <cp:keywords>recensión</cp:keywords>
  <dc:description>recensión_x000d_
</dc:description>
  <cp:lastModifiedBy>Gustavo Raúl de las Heras Sánchez</cp:lastModifiedBy>
  <cp:revision>6</cp:revision>
  <cp:lastPrinted>2020-04-24T17:52:00Z</cp:lastPrinted>
  <dcterms:created xsi:type="dcterms:W3CDTF">2020-04-25T11:59:00Z</dcterms:created>
  <dcterms:modified xsi:type="dcterms:W3CDTF">2020-04-25T19:15:00Z</dcterms:modified>
</cp:coreProperties>
</file>